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13F98" w14:textId="77777777" w:rsidR="00AC6BA5" w:rsidRDefault="00AC6BA5" w:rsidP="00AC6BA5">
      <w:pPr>
        <w:ind w:left="2160" w:firstLine="720"/>
        <w:rPr>
          <w:b/>
          <w:color w:val="auto"/>
          <w:sz w:val="36"/>
        </w:rPr>
      </w:pPr>
      <w:r w:rsidRPr="00D3027B">
        <w:rPr>
          <w:b/>
          <w:noProof/>
          <w:sz w:val="36"/>
        </w:rPr>
        <w:drawing>
          <wp:anchor distT="0" distB="0" distL="114300" distR="114300" simplePos="0" relativeHeight="251659264" behindDoc="0" locked="0" layoutInCell="1" allowOverlap="1" wp14:anchorId="569233A4" wp14:editId="41D3FE28">
            <wp:simplePos x="0" y="0"/>
            <wp:positionH relativeFrom="column">
              <wp:posOffset>0</wp:posOffset>
            </wp:positionH>
            <wp:positionV relativeFrom="paragraph">
              <wp:posOffset>304800</wp:posOffset>
            </wp:positionV>
            <wp:extent cx="901700" cy="965200"/>
            <wp:effectExtent l="0" t="0" r="0" b="0"/>
            <wp:wrapSquare wrapText="bothSides"/>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DLogo_bluebg.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700" cy="965200"/>
                    </a:xfrm>
                    <a:prstGeom prst="rect">
                      <a:avLst/>
                    </a:prstGeom>
                  </pic:spPr>
                </pic:pic>
              </a:graphicData>
            </a:graphic>
            <wp14:sizeRelH relativeFrom="page">
              <wp14:pctWidth>0</wp14:pctWidth>
            </wp14:sizeRelH>
            <wp14:sizeRelV relativeFrom="page">
              <wp14:pctHeight>0</wp14:pctHeight>
            </wp14:sizeRelV>
          </wp:anchor>
        </w:drawing>
      </w:r>
    </w:p>
    <w:p w14:paraId="1111759A" w14:textId="77777777" w:rsidR="00AC6BA5" w:rsidRDefault="00AC6BA5" w:rsidP="00AC6BA5">
      <w:pPr>
        <w:ind w:left="2160" w:firstLine="720"/>
        <w:rPr>
          <w:b/>
          <w:color w:val="auto"/>
          <w:sz w:val="36"/>
        </w:rPr>
      </w:pPr>
    </w:p>
    <w:p w14:paraId="65D93E14" w14:textId="77777777" w:rsidR="006F7166" w:rsidRDefault="00DB3FA7" w:rsidP="00AC6BA5">
      <w:pPr>
        <w:ind w:left="2160" w:firstLine="720"/>
        <w:rPr>
          <w:b/>
          <w:color w:val="auto"/>
          <w:sz w:val="36"/>
        </w:rPr>
      </w:pPr>
      <w:r>
        <w:rPr>
          <w:b/>
          <w:color w:val="auto"/>
          <w:sz w:val="36"/>
        </w:rPr>
        <w:t>CED Safeguarding Policy</w:t>
      </w:r>
    </w:p>
    <w:p w14:paraId="5A2F7AC0" w14:textId="77777777" w:rsidR="006F7166" w:rsidRDefault="006F7166">
      <w:pPr>
        <w:rPr>
          <w:color w:val="auto"/>
        </w:rPr>
      </w:pPr>
    </w:p>
    <w:p w14:paraId="6A8510C2" w14:textId="77777777" w:rsidR="00AC6BA5" w:rsidRDefault="00AC6BA5">
      <w:pPr>
        <w:rPr>
          <w:b/>
          <w:color w:val="auto"/>
        </w:rPr>
      </w:pPr>
    </w:p>
    <w:p w14:paraId="0DE0C9BB" w14:textId="77777777" w:rsidR="00AC6BA5" w:rsidRDefault="00AC6BA5">
      <w:pPr>
        <w:rPr>
          <w:b/>
          <w:color w:val="auto"/>
        </w:rPr>
      </w:pPr>
    </w:p>
    <w:p w14:paraId="03A7C9F4" w14:textId="77777777" w:rsidR="00AC6BA5" w:rsidRDefault="00AC6BA5">
      <w:pPr>
        <w:rPr>
          <w:b/>
          <w:color w:val="auto"/>
        </w:rPr>
      </w:pPr>
    </w:p>
    <w:p w14:paraId="56FB3FE6" w14:textId="77777777" w:rsidR="00AC6BA5" w:rsidRDefault="00AC6BA5">
      <w:pPr>
        <w:rPr>
          <w:b/>
          <w:color w:val="auto"/>
        </w:rPr>
      </w:pPr>
    </w:p>
    <w:p w14:paraId="7FCF4579" w14:textId="77777777" w:rsidR="00AC6BA5" w:rsidRDefault="00AC6BA5">
      <w:pPr>
        <w:rPr>
          <w:b/>
          <w:color w:val="auto"/>
        </w:rPr>
      </w:pPr>
    </w:p>
    <w:p w14:paraId="4DA93AE0" w14:textId="77777777" w:rsidR="00AC6BA5" w:rsidRDefault="00AC6BA5">
      <w:pPr>
        <w:rPr>
          <w:b/>
          <w:color w:val="auto"/>
        </w:rPr>
      </w:pPr>
    </w:p>
    <w:p w14:paraId="70449065" w14:textId="77777777" w:rsidR="00AC6BA5" w:rsidRDefault="00AC6BA5">
      <w:pPr>
        <w:rPr>
          <w:b/>
          <w:color w:val="auto"/>
        </w:rPr>
      </w:pPr>
    </w:p>
    <w:p w14:paraId="1164578C" w14:textId="77777777" w:rsidR="00AC6BA5" w:rsidRDefault="00AC6BA5">
      <w:pPr>
        <w:rPr>
          <w:b/>
          <w:color w:val="auto"/>
        </w:rPr>
      </w:pPr>
    </w:p>
    <w:p w14:paraId="517F5C37" w14:textId="77777777" w:rsidR="00AC6BA5" w:rsidRDefault="00AC6BA5">
      <w:pPr>
        <w:rPr>
          <w:b/>
          <w:color w:val="auto"/>
        </w:rPr>
      </w:pPr>
    </w:p>
    <w:p w14:paraId="1E019954" w14:textId="77777777" w:rsidR="00AC6BA5" w:rsidRDefault="00AC6BA5">
      <w:pPr>
        <w:rPr>
          <w:b/>
          <w:color w:val="auto"/>
        </w:rPr>
      </w:pPr>
    </w:p>
    <w:p w14:paraId="3E63DBD8" w14:textId="77777777" w:rsidR="00AC6BA5" w:rsidRDefault="00AC6BA5">
      <w:pPr>
        <w:rPr>
          <w:b/>
          <w:color w:val="auto"/>
        </w:rPr>
      </w:pPr>
    </w:p>
    <w:p w14:paraId="17F5CD61" w14:textId="77777777" w:rsidR="00AC6BA5" w:rsidRDefault="00AC6BA5">
      <w:pPr>
        <w:rPr>
          <w:b/>
          <w:color w:val="auto"/>
        </w:rPr>
      </w:pPr>
    </w:p>
    <w:p w14:paraId="4BD4C8E5" w14:textId="77777777" w:rsidR="00AC6BA5" w:rsidRDefault="00AC6BA5">
      <w:pPr>
        <w:rPr>
          <w:b/>
          <w:color w:val="auto"/>
        </w:rPr>
      </w:pPr>
    </w:p>
    <w:p w14:paraId="3D2BDE0C" w14:textId="77777777" w:rsidR="00AC6BA5" w:rsidRDefault="00AC6BA5">
      <w:pPr>
        <w:rPr>
          <w:b/>
          <w:color w:val="auto"/>
        </w:rPr>
      </w:pPr>
    </w:p>
    <w:p w14:paraId="56F23891" w14:textId="77777777" w:rsidR="00AC6BA5" w:rsidRDefault="00AC6BA5">
      <w:pPr>
        <w:rPr>
          <w:b/>
          <w:color w:val="auto"/>
        </w:rPr>
      </w:pPr>
    </w:p>
    <w:p w14:paraId="2570F416" w14:textId="77777777" w:rsidR="00AC6BA5" w:rsidRDefault="00AC6BA5">
      <w:pPr>
        <w:rPr>
          <w:b/>
          <w:color w:val="auto"/>
        </w:rPr>
      </w:pPr>
    </w:p>
    <w:p w14:paraId="7950A88F" w14:textId="77777777" w:rsidR="00AC6BA5" w:rsidRDefault="00AC6BA5">
      <w:pPr>
        <w:rPr>
          <w:b/>
          <w:color w:val="auto"/>
        </w:rPr>
      </w:pPr>
    </w:p>
    <w:p w14:paraId="265F7B79" w14:textId="77777777" w:rsidR="00AC6BA5" w:rsidRDefault="00AC6BA5">
      <w:pPr>
        <w:rPr>
          <w:b/>
          <w:color w:val="auto"/>
        </w:rPr>
      </w:pPr>
    </w:p>
    <w:p w14:paraId="38109ECF" w14:textId="77777777" w:rsidR="00AC6BA5" w:rsidRDefault="00AC6BA5">
      <w:pPr>
        <w:rPr>
          <w:b/>
          <w:color w:val="auto"/>
        </w:rPr>
      </w:pPr>
    </w:p>
    <w:p w14:paraId="70A93A79" w14:textId="77777777" w:rsidR="00AC6BA5" w:rsidRDefault="00AC6BA5">
      <w:pPr>
        <w:rPr>
          <w:b/>
          <w:color w:val="auto"/>
        </w:rPr>
      </w:pPr>
    </w:p>
    <w:p w14:paraId="2735148B" w14:textId="77777777" w:rsidR="00AC6BA5" w:rsidRDefault="00AC6BA5" w:rsidP="00AC6BA5">
      <w:pPr>
        <w:rPr>
          <w:b/>
          <w:color w:val="auto"/>
        </w:rPr>
      </w:pPr>
      <w:r>
        <w:rPr>
          <w:b/>
          <w:color w:val="auto"/>
        </w:rPr>
        <w:t>Date adopted: 22/11/2018</w:t>
      </w:r>
    </w:p>
    <w:p w14:paraId="3A61D138" w14:textId="77777777" w:rsidR="00AC6BA5" w:rsidRDefault="00AC6BA5" w:rsidP="00AC6BA5">
      <w:pPr>
        <w:rPr>
          <w:b/>
          <w:color w:val="auto"/>
        </w:rPr>
      </w:pPr>
    </w:p>
    <w:p w14:paraId="55A41813" w14:textId="7B150E52" w:rsidR="00AC6BA5" w:rsidRDefault="00AC6BA5" w:rsidP="00AC6BA5">
      <w:pPr>
        <w:rPr>
          <w:b/>
          <w:color w:val="auto"/>
        </w:rPr>
      </w:pPr>
      <w:r>
        <w:rPr>
          <w:b/>
          <w:color w:val="auto"/>
        </w:rPr>
        <w:t xml:space="preserve">Last review date: </w:t>
      </w:r>
      <w:r w:rsidR="00B806F6">
        <w:rPr>
          <w:b/>
          <w:color w:val="auto"/>
        </w:rPr>
        <w:t>Sept</w:t>
      </w:r>
      <w:r>
        <w:rPr>
          <w:b/>
          <w:color w:val="auto"/>
        </w:rPr>
        <w:t xml:space="preserve"> 202</w:t>
      </w:r>
      <w:r w:rsidR="00B806F6">
        <w:rPr>
          <w:b/>
          <w:color w:val="auto"/>
        </w:rPr>
        <w:t>4</w:t>
      </w:r>
    </w:p>
    <w:p w14:paraId="133C7CBA" w14:textId="77777777" w:rsidR="00AC6BA5" w:rsidRDefault="00AC6BA5" w:rsidP="00AC6BA5">
      <w:pPr>
        <w:rPr>
          <w:b/>
          <w:color w:val="auto"/>
        </w:rPr>
      </w:pPr>
    </w:p>
    <w:p w14:paraId="1289ADA9" w14:textId="10A7E2B0" w:rsidR="00AC6BA5" w:rsidRPr="00DB3FA7" w:rsidRDefault="00AC6BA5" w:rsidP="00AC6BA5">
      <w:pPr>
        <w:rPr>
          <w:b/>
          <w:color w:val="auto"/>
        </w:rPr>
      </w:pPr>
      <w:r>
        <w:rPr>
          <w:b/>
          <w:color w:val="auto"/>
        </w:rPr>
        <w:t xml:space="preserve">Date of next review: </w:t>
      </w:r>
      <w:r w:rsidR="00B806F6">
        <w:rPr>
          <w:b/>
          <w:color w:val="auto"/>
        </w:rPr>
        <w:t>Sept</w:t>
      </w:r>
      <w:r>
        <w:rPr>
          <w:b/>
          <w:color w:val="auto"/>
        </w:rPr>
        <w:t xml:space="preserve"> 202</w:t>
      </w:r>
      <w:r w:rsidR="00B806F6">
        <w:rPr>
          <w:b/>
          <w:color w:val="auto"/>
        </w:rPr>
        <w:t>5</w:t>
      </w:r>
    </w:p>
    <w:p w14:paraId="46D7E7D0" w14:textId="77777777" w:rsidR="00AC6BA5" w:rsidRDefault="00AC6BA5">
      <w:pPr>
        <w:rPr>
          <w:b/>
          <w:color w:val="auto"/>
        </w:rPr>
      </w:pPr>
    </w:p>
    <w:p w14:paraId="63E4F1F9" w14:textId="77777777" w:rsidR="00AC6BA5" w:rsidRDefault="00AC6BA5">
      <w:pPr>
        <w:rPr>
          <w:b/>
          <w:color w:val="auto"/>
        </w:rPr>
      </w:pPr>
    </w:p>
    <w:tbl>
      <w:tblPr>
        <w:tblStyle w:val="TableGrid"/>
        <w:tblW w:w="0" w:type="auto"/>
        <w:tblLook w:val="04A0" w:firstRow="1" w:lastRow="0" w:firstColumn="1" w:lastColumn="0" w:noHBand="0" w:noVBand="1"/>
      </w:tblPr>
      <w:tblGrid>
        <w:gridCol w:w="1555"/>
        <w:gridCol w:w="1701"/>
        <w:gridCol w:w="6094"/>
      </w:tblGrid>
      <w:tr w:rsidR="00AC6BA5" w14:paraId="3E87AE89" w14:textId="77777777" w:rsidTr="00825A56">
        <w:tc>
          <w:tcPr>
            <w:tcW w:w="1555" w:type="dxa"/>
          </w:tcPr>
          <w:p w14:paraId="6123CE5F" w14:textId="77777777" w:rsidR="00AC6BA5" w:rsidRDefault="00AC6BA5">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Revision</w:t>
            </w:r>
          </w:p>
        </w:tc>
        <w:tc>
          <w:tcPr>
            <w:tcW w:w="1701" w:type="dxa"/>
          </w:tcPr>
          <w:p w14:paraId="35B10873" w14:textId="77777777" w:rsidR="00AC6BA5" w:rsidRDefault="00AC6BA5">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Date</w:t>
            </w:r>
          </w:p>
        </w:tc>
        <w:tc>
          <w:tcPr>
            <w:tcW w:w="6094" w:type="dxa"/>
          </w:tcPr>
          <w:p w14:paraId="639DF9DE" w14:textId="77777777" w:rsidR="00AC6BA5" w:rsidRDefault="00825A56">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 xml:space="preserve">Description of </w:t>
            </w:r>
            <w:r w:rsidR="00AC6BA5">
              <w:rPr>
                <w:b/>
                <w:color w:val="auto"/>
              </w:rPr>
              <w:t>Issue</w:t>
            </w:r>
          </w:p>
        </w:tc>
      </w:tr>
      <w:tr w:rsidR="00AC6BA5" w14:paraId="785076B2" w14:textId="77777777" w:rsidTr="00825A56">
        <w:tc>
          <w:tcPr>
            <w:tcW w:w="1555" w:type="dxa"/>
          </w:tcPr>
          <w:p w14:paraId="763FA564" w14:textId="77777777" w:rsidR="00AC6BA5" w:rsidRDefault="00AC6BA5">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Rev 1</w:t>
            </w:r>
          </w:p>
        </w:tc>
        <w:tc>
          <w:tcPr>
            <w:tcW w:w="1701" w:type="dxa"/>
          </w:tcPr>
          <w:p w14:paraId="02B8F58D" w14:textId="77777777" w:rsidR="00AC6BA5" w:rsidRDefault="00825A56">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 xml:space="preserve">26 </w:t>
            </w:r>
            <w:r w:rsidR="00AC6BA5">
              <w:rPr>
                <w:b/>
                <w:color w:val="auto"/>
              </w:rPr>
              <w:t>Nov 2020</w:t>
            </w:r>
          </w:p>
        </w:tc>
        <w:tc>
          <w:tcPr>
            <w:tcW w:w="6094" w:type="dxa"/>
          </w:tcPr>
          <w:p w14:paraId="0CB0DE65" w14:textId="77777777" w:rsidR="00AC6BA5" w:rsidRDefault="00825A56">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Minor amendments approved at Board meeting 26/11/20</w:t>
            </w:r>
          </w:p>
        </w:tc>
      </w:tr>
      <w:tr w:rsidR="00AC6BA5" w14:paraId="524EA129" w14:textId="77777777" w:rsidTr="00825A56">
        <w:tc>
          <w:tcPr>
            <w:tcW w:w="1555" w:type="dxa"/>
          </w:tcPr>
          <w:p w14:paraId="41E68FBA" w14:textId="77777777" w:rsidR="00AC6BA5" w:rsidRDefault="00AC6BA5">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Rev 2</w:t>
            </w:r>
          </w:p>
        </w:tc>
        <w:tc>
          <w:tcPr>
            <w:tcW w:w="1701" w:type="dxa"/>
          </w:tcPr>
          <w:p w14:paraId="4524B40D" w14:textId="77777777" w:rsidR="00AC6BA5" w:rsidRDefault="007A5AB6">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7 Dec 2020</w:t>
            </w:r>
          </w:p>
        </w:tc>
        <w:tc>
          <w:tcPr>
            <w:tcW w:w="6094" w:type="dxa"/>
          </w:tcPr>
          <w:p w14:paraId="2C1C3CA0" w14:textId="77777777" w:rsidR="00AC6BA5" w:rsidRDefault="007A5AB6">
            <w:pPr>
              <w:pBdr>
                <w:top w:val="none" w:sz="0" w:space="0" w:color="auto"/>
                <w:left w:val="none" w:sz="0" w:space="0" w:color="auto"/>
                <w:bottom w:val="none" w:sz="0" w:space="0" w:color="auto"/>
                <w:right w:val="none" w:sz="0" w:space="0" w:color="auto"/>
                <w:between w:val="none" w:sz="0" w:space="0" w:color="auto"/>
              </w:pBdr>
              <w:rPr>
                <w:b/>
                <w:color w:val="auto"/>
              </w:rPr>
            </w:pPr>
            <w:r w:rsidRPr="00D42F04">
              <w:rPr>
                <w:rFonts w:ascii="Zurich BT" w:hAnsi="Zurich BT" w:cs="Times New Roman"/>
                <w:b/>
                <w:szCs w:val="20"/>
              </w:rPr>
              <w:t>Minor amendments following meeting with Mannion Daniels 27/11/20</w:t>
            </w:r>
          </w:p>
        </w:tc>
      </w:tr>
      <w:tr w:rsidR="00AC6BA5" w14:paraId="014EBE42" w14:textId="77777777" w:rsidTr="00825A56">
        <w:tc>
          <w:tcPr>
            <w:tcW w:w="1555" w:type="dxa"/>
          </w:tcPr>
          <w:p w14:paraId="2D899656" w14:textId="6B1E5AE2" w:rsidR="00AC6BA5" w:rsidRDefault="005B1137">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Rev 3</w:t>
            </w:r>
          </w:p>
        </w:tc>
        <w:tc>
          <w:tcPr>
            <w:tcW w:w="1701" w:type="dxa"/>
          </w:tcPr>
          <w:p w14:paraId="12591F10" w14:textId="63493B44" w:rsidR="00AC6BA5" w:rsidRDefault="005B1137">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10 Aug 2023</w:t>
            </w:r>
          </w:p>
        </w:tc>
        <w:tc>
          <w:tcPr>
            <w:tcW w:w="6094" w:type="dxa"/>
          </w:tcPr>
          <w:p w14:paraId="000956AC" w14:textId="44BDA6D3" w:rsidR="00AC6BA5" w:rsidRDefault="005B1137">
            <w:pPr>
              <w:pBdr>
                <w:top w:val="none" w:sz="0" w:space="0" w:color="auto"/>
                <w:left w:val="none" w:sz="0" w:space="0" w:color="auto"/>
                <w:bottom w:val="none" w:sz="0" w:space="0" w:color="auto"/>
                <w:right w:val="none" w:sz="0" w:space="0" w:color="auto"/>
                <w:between w:val="none" w:sz="0" w:space="0" w:color="auto"/>
              </w:pBdr>
              <w:rPr>
                <w:b/>
                <w:color w:val="auto"/>
              </w:rPr>
            </w:pPr>
            <w:r>
              <w:rPr>
                <w:b/>
                <w:color w:val="auto"/>
              </w:rPr>
              <w:t>Minor amendments to sections 2 and 4</w:t>
            </w:r>
          </w:p>
        </w:tc>
      </w:tr>
    </w:tbl>
    <w:p w14:paraId="44E59F2D" w14:textId="77777777" w:rsidR="00AC6BA5" w:rsidRDefault="00AC6BA5">
      <w:pPr>
        <w:rPr>
          <w:b/>
          <w:color w:val="auto"/>
        </w:rPr>
      </w:pPr>
    </w:p>
    <w:p w14:paraId="3818677E" w14:textId="77777777" w:rsidR="00AC6BA5" w:rsidRDefault="00AC6BA5">
      <w:pPr>
        <w:rPr>
          <w:b/>
          <w:color w:val="auto"/>
        </w:rPr>
      </w:pPr>
    </w:p>
    <w:p w14:paraId="1B472963" w14:textId="77777777" w:rsidR="00AC6BA5" w:rsidRDefault="00AC6BA5">
      <w:pPr>
        <w:rPr>
          <w:b/>
          <w:color w:val="auto"/>
        </w:rPr>
      </w:pPr>
    </w:p>
    <w:p w14:paraId="140B81ED" w14:textId="77777777" w:rsidR="00825A56" w:rsidRDefault="00825A56">
      <w:pPr>
        <w:rPr>
          <w:b/>
          <w:color w:val="auto"/>
        </w:rPr>
      </w:pPr>
    </w:p>
    <w:p w14:paraId="1884151A" w14:textId="77777777" w:rsidR="00825A56" w:rsidRDefault="00825A56">
      <w:pPr>
        <w:rPr>
          <w:b/>
          <w:color w:val="auto"/>
        </w:rPr>
      </w:pPr>
    </w:p>
    <w:p w14:paraId="1E2A3C2C" w14:textId="77777777" w:rsidR="00825A56" w:rsidRDefault="00825A56">
      <w:pPr>
        <w:rPr>
          <w:b/>
          <w:color w:val="auto"/>
        </w:rPr>
      </w:pPr>
    </w:p>
    <w:p w14:paraId="55532087" w14:textId="77777777" w:rsidR="00825A56" w:rsidRDefault="00825A56">
      <w:pPr>
        <w:rPr>
          <w:b/>
          <w:color w:val="auto"/>
        </w:rPr>
      </w:pPr>
    </w:p>
    <w:p w14:paraId="7113ABE3" w14:textId="77777777" w:rsidR="00AC6BA5" w:rsidRDefault="00AC6BA5">
      <w:pPr>
        <w:rPr>
          <w:b/>
          <w:color w:val="auto"/>
        </w:rPr>
      </w:pPr>
    </w:p>
    <w:p w14:paraId="1AB6234C" w14:textId="77777777" w:rsidR="006F7166" w:rsidRDefault="00DB3FA7">
      <w:pPr>
        <w:rPr>
          <w:b/>
          <w:color w:val="auto"/>
        </w:rPr>
      </w:pPr>
      <w:r>
        <w:rPr>
          <w:b/>
          <w:color w:val="auto"/>
        </w:rPr>
        <w:t>1. Introduction</w:t>
      </w:r>
    </w:p>
    <w:p w14:paraId="5874C997" w14:textId="77777777" w:rsidR="006F7166" w:rsidRDefault="00DB3FA7">
      <w:pPr>
        <w:rPr>
          <w:color w:val="auto"/>
        </w:rPr>
      </w:pPr>
      <w:r>
        <w:rPr>
          <w:color w:val="auto"/>
        </w:rPr>
        <w:br/>
        <w:t>As a Christian charity CED recognises it’s responsibility in protecting and safeguarding CED members</w:t>
      </w:r>
      <w:r w:rsidR="007A5AB6">
        <w:rPr>
          <w:color w:val="auto"/>
        </w:rPr>
        <w:t>, staff</w:t>
      </w:r>
      <w:r>
        <w:rPr>
          <w:color w:val="auto"/>
        </w:rPr>
        <w:t xml:space="preserve"> and other representatives of CED, our partners and beneficiaries to the highest standards possible.To be protected from abuse, exploitation and inequalities, members</w:t>
      </w:r>
      <w:r w:rsidR="00A45949">
        <w:rPr>
          <w:color w:val="auto"/>
        </w:rPr>
        <w:t>, staff</w:t>
      </w:r>
      <w:r>
        <w:rPr>
          <w:color w:val="auto"/>
        </w:rPr>
        <w:t xml:space="preserve"> and other CED representatives must behave with the utmost professionalism and integrity at all times; wisdom, discernment and sensitivity will be particularly required where abuse is suspected. </w:t>
      </w:r>
      <w:r w:rsidR="00A00B9C" w:rsidRPr="00825A56">
        <w:rPr>
          <w:rFonts w:eastAsia="Times New Roman"/>
          <w:color w:val="000000" w:themeColor="text1"/>
        </w:rPr>
        <w:t>CED adopts a zero-tolerance approach to any violations of this policy.</w:t>
      </w:r>
      <w:r>
        <w:rPr>
          <w:color w:val="auto"/>
        </w:rPr>
        <w:br/>
      </w:r>
      <w:r>
        <w:rPr>
          <w:color w:val="auto"/>
        </w:rPr>
        <w:br/>
        <w:t xml:space="preserve">A safeguarding policy is a statement of intent that demonstrates a commitment to safeguard individuals from harm and shows that a faith-based organisation is taking its responsibilities seriously. </w:t>
      </w:r>
      <w:r>
        <w:rPr>
          <w:color w:val="auto"/>
        </w:rPr>
        <w:br/>
      </w:r>
    </w:p>
    <w:p w14:paraId="13667B6D" w14:textId="77777777" w:rsidR="006F7166" w:rsidRDefault="00DB3FA7">
      <w:pPr>
        <w:rPr>
          <w:color w:val="auto"/>
        </w:rPr>
      </w:pPr>
      <w:r>
        <w:rPr>
          <w:color w:val="auto"/>
        </w:rPr>
        <w:t>This policy applies only to CED members</w:t>
      </w:r>
      <w:r w:rsidR="00A45949">
        <w:rPr>
          <w:color w:val="auto"/>
        </w:rPr>
        <w:t>, staff</w:t>
      </w:r>
      <w:r>
        <w:rPr>
          <w:color w:val="auto"/>
        </w:rPr>
        <w:t xml:space="preserve"> and other CED representatives.</w:t>
      </w:r>
    </w:p>
    <w:p w14:paraId="5D99C8B5" w14:textId="77777777" w:rsidR="006F7166" w:rsidRDefault="006F7166">
      <w:pPr>
        <w:rPr>
          <w:color w:val="auto"/>
        </w:rPr>
      </w:pPr>
    </w:p>
    <w:p w14:paraId="6FB5A5DC" w14:textId="77777777" w:rsidR="006F7166" w:rsidRDefault="00DB3FA7">
      <w:pPr>
        <w:rPr>
          <w:b/>
          <w:color w:val="auto"/>
        </w:rPr>
      </w:pPr>
      <w:r>
        <w:rPr>
          <w:b/>
          <w:color w:val="auto"/>
        </w:rPr>
        <w:t>2. CED’s method of working.</w:t>
      </w:r>
    </w:p>
    <w:p w14:paraId="26A8EE85" w14:textId="77777777" w:rsidR="006F7166" w:rsidRDefault="006F7166">
      <w:pPr>
        <w:rPr>
          <w:color w:val="auto"/>
        </w:rPr>
      </w:pPr>
    </w:p>
    <w:p w14:paraId="39D33910" w14:textId="4A208C64" w:rsidR="006F7166" w:rsidRDefault="00DB3FA7">
      <w:pPr>
        <w:rPr>
          <w:color w:val="auto"/>
        </w:rPr>
      </w:pPr>
      <w:r>
        <w:rPr>
          <w:color w:val="auto"/>
        </w:rPr>
        <w:t>CED works with overseas partners primarily to assist rural communities with development projects. CED always seeks to serve whole communities, which inevitably include young children, the elderly and other vulnerable adults. However, CED’s professional dealings are only ever with community leaders and representatives and in the presence of partner organisation employees, and therefore CED members</w:t>
      </w:r>
      <w:r w:rsidR="007A5AB6">
        <w:rPr>
          <w:color w:val="auto"/>
        </w:rPr>
        <w:t>, staff</w:t>
      </w:r>
      <w:r>
        <w:rPr>
          <w:color w:val="auto"/>
        </w:rPr>
        <w:t xml:space="preserve"> or other CED representatives should not have any </w:t>
      </w:r>
      <w:r w:rsidR="001B1BC0" w:rsidRPr="00592099">
        <w:rPr>
          <w:color w:val="auto"/>
        </w:rPr>
        <w:t>unsupervised</w:t>
      </w:r>
      <w:r w:rsidR="001B1BC0">
        <w:rPr>
          <w:color w:val="auto"/>
        </w:rPr>
        <w:t xml:space="preserve"> </w:t>
      </w:r>
      <w:r>
        <w:rPr>
          <w:color w:val="auto"/>
        </w:rPr>
        <w:t xml:space="preserve">direct contact with any children or vulnerable adults whilst acting in a professional capacity. DBS checks for CED </w:t>
      </w:r>
      <w:r w:rsidR="007A5AB6">
        <w:rPr>
          <w:color w:val="auto"/>
        </w:rPr>
        <w:t xml:space="preserve">staff or </w:t>
      </w:r>
      <w:r>
        <w:rPr>
          <w:color w:val="auto"/>
        </w:rPr>
        <w:t>volunteers making overseas site visits are therefore not required</w:t>
      </w:r>
      <w:r w:rsidR="001B1BC0">
        <w:rPr>
          <w:color w:val="auto"/>
        </w:rPr>
        <w:t xml:space="preserve">; </w:t>
      </w:r>
      <w:r w:rsidR="001B1BC0" w:rsidRPr="00592099">
        <w:rPr>
          <w:color w:val="auto"/>
        </w:rPr>
        <w:t>however, basic disclosure checks will be carried</w:t>
      </w:r>
      <w:r w:rsidRPr="00592099">
        <w:rPr>
          <w:color w:val="auto"/>
        </w:rPr>
        <w:t xml:space="preserve"> </w:t>
      </w:r>
      <w:r w:rsidR="001B1BC0" w:rsidRPr="00592099">
        <w:rPr>
          <w:color w:val="auto"/>
        </w:rPr>
        <w:t>out as a precautionary measure.</w:t>
      </w:r>
      <w:r w:rsidR="001B1BC0">
        <w:rPr>
          <w:color w:val="auto"/>
        </w:rPr>
        <w:t xml:space="preserve"> </w:t>
      </w:r>
      <w:r>
        <w:rPr>
          <w:color w:val="auto"/>
        </w:rPr>
        <w:t xml:space="preserve">Occasionally an individual who is not a member, for example a person considering </w:t>
      </w:r>
      <w:proofErr w:type="gramStart"/>
      <w:r>
        <w:rPr>
          <w:color w:val="auto"/>
        </w:rPr>
        <w:t>membership</w:t>
      </w:r>
      <w:proofErr w:type="gramEnd"/>
      <w:r>
        <w:rPr>
          <w:color w:val="auto"/>
        </w:rPr>
        <w:t xml:space="preserve"> or an expert engaged on CED’s behalf, will travel with a member, or on their own, on CED business.</w:t>
      </w:r>
    </w:p>
    <w:p w14:paraId="7740DEFF" w14:textId="77777777" w:rsidR="006F7166" w:rsidRDefault="006F7166">
      <w:pPr>
        <w:rPr>
          <w:color w:val="auto"/>
        </w:rPr>
      </w:pPr>
    </w:p>
    <w:p w14:paraId="0EB7C1B8" w14:textId="77777777" w:rsidR="006F7166" w:rsidRDefault="00DB3FA7">
      <w:pPr>
        <w:rPr>
          <w:b/>
          <w:color w:val="auto"/>
        </w:rPr>
      </w:pPr>
      <w:r>
        <w:rPr>
          <w:b/>
          <w:color w:val="auto"/>
        </w:rPr>
        <w:t>3. Situations to which this policy applies and preventative actions.</w:t>
      </w:r>
    </w:p>
    <w:p w14:paraId="3A8F64AB" w14:textId="77777777" w:rsidR="006F7166" w:rsidRDefault="006F7166">
      <w:pPr>
        <w:rPr>
          <w:color w:val="auto"/>
        </w:rPr>
      </w:pPr>
    </w:p>
    <w:p w14:paraId="2A15D022" w14:textId="77777777" w:rsidR="006F7166" w:rsidRDefault="00DB3FA7">
      <w:pPr>
        <w:rPr>
          <w:color w:val="auto"/>
        </w:rPr>
      </w:pPr>
      <w:r>
        <w:rPr>
          <w:color w:val="auto"/>
        </w:rPr>
        <w:t>CED's safeguarding policy seeks to protect our partner organisations and beneficiaries by vetting all who undertake visits on CED’s behalf. The policy raises awareness of the kinds of abuse that exist, and supports the reporting of abuse if it is suspected.</w:t>
      </w:r>
    </w:p>
    <w:p w14:paraId="21DE844A" w14:textId="77777777" w:rsidR="006F7166" w:rsidRDefault="006F7166">
      <w:pPr>
        <w:rPr>
          <w:color w:val="auto"/>
        </w:rPr>
      </w:pPr>
    </w:p>
    <w:p w14:paraId="7085DFD9" w14:textId="77777777" w:rsidR="006F7166" w:rsidRDefault="00DB3FA7">
      <w:pPr>
        <w:rPr>
          <w:color w:val="auto"/>
        </w:rPr>
      </w:pPr>
      <w:r>
        <w:rPr>
          <w:color w:val="auto"/>
        </w:rPr>
        <w:t>The policy exists to protect CED members</w:t>
      </w:r>
      <w:r w:rsidR="007A5AB6">
        <w:rPr>
          <w:color w:val="auto"/>
        </w:rPr>
        <w:t>, staff</w:t>
      </w:r>
      <w:r>
        <w:rPr>
          <w:color w:val="auto"/>
        </w:rPr>
        <w:t xml:space="preserve"> and other CED representatives in their professional relationships from</w:t>
      </w:r>
    </w:p>
    <w:p w14:paraId="5AE98749" w14:textId="77777777" w:rsidR="006F7166" w:rsidRDefault="00DB3FA7">
      <w:pPr>
        <w:numPr>
          <w:ilvl w:val="0"/>
          <w:numId w:val="3"/>
        </w:numPr>
        <w:rPr>
          <w:color w:val="auto"/>
        </w:rPr>
      </w:pPr>
      <w:r>
        <w:rPr>
          <w:color w:val="auto"/>
        </w:rPr>
        <w:t>inappropriate behaviour from other CED members</w:t>
      </w:r>
      <w:r w:rsidR="007A5AB6">
        <w:rPr>
          <w:color w:val="auto"/>
        </w:rPr>
        <w:t>, staff</w:t>
      </w:r>
      <w:r>
        <w:rPr>
          <w:color w:val="auto"/>
        </w:rPr>
        <w:t xml:space="preserve"> or other CED representatives when travelling together, or meeting together on CED business within the UK.</w:t>
      </w:r>
    </w:p>
    <w:p w14:paraId="4BF7D44F" w14:textId="77777777" w:rsidR="006F7166" w:rsidRDefault="00DB3FA7">
      <w:pPr>
        <w:numPr>
          <w:ilvl w:val="0"/>
          <w:numId w:val="3"/>
        </w:numPr>
        <w:rPr>
          <w:color w:val="auto"/>
        </w:rPr>
      </w:pPr>
      <w:r>
        <w:rPr>
          <w:color w:val="auto"/>
        </w:rPr>
        <w:t>potential allegations being made against them, particularly when travelling overseas.</w:t>
      </w:r>
    </w:p>
    <w:p w14:paraId="7D98BDE7" w14:textId="77777777" w:rsidR="006F7166" w:rsidRDefault="006F7166">
      <w:pPr>
        <w:rPr>
          <w:color w:val="auto"/>
        </w:rPr>
      </w:pPr>
    </w:p>
    <w:p w14:paraId="67BA33A3" w14:textId="77777777" w:rsidR="006F7166" w:rsidRDefault="006F7166">
      <w:pPr>
        <w:rPr>
          <w:color w:val="auto"/>
        </w:rPr>
      </w:pPr>
    </w:p>
    <w:p w14:paraId="6D5BE3A1" w14:textId="77777777" w:rsidR="006F7166" w:rsidRDefault="00DB3FA7">
      <w:pPr>
        <w:rPr>
          <w:color w:val="auto"/>
        </w:rPr>
      </w:pPr>
      <w:r>
        <w:rPr>
          <w:color w:val="auto"/>
          <w:lang w:val="en-GB"/>
        </w:rPr>
        <w:t>As from 01/12/2018 t</w:t>
      </w:r>
      <w:r>
        <w:rPr>
          <w:color w:val="auto"/>
        </w:rPr>
        <w:t>he following actions should be taken to guard against the above:</w:t>
      </w:r>
    </w:p>
    <w:p w14:paraId="79389B82" w14:textId="77777777" w:rsidR="00DB3FA7" w:rsidRDefault="00DB3FA7">
      <w:pPr>
        <w:rPr>
          <w:color w:val="auto"/>
        </w:rPr>
      </w:pPr>
    </w:p>
    <w:p w14:paraId="0BB2CC88" w14:textId="77777777" w:rsidR="00DB3FA7" w:rsidRDefault="00DB3FA7">
      <w:pPr>
        <w:rPr>
          <w:color w:val="auto"/>
        </w:rPr>
      </w:pPr>
      <w:r>
        <w:rPr>
          <w:color w:val="auto"/>
        </w:rPr>
        <w:t xml:space="preserve">Any member </w:t>
      </w:r>
      <w:r w:rsidR="00A45949">
        <w:rPr>
          <w:color w:val="auto"/>
        </w:rPr>
        <w:t xml:space="preserve">or member of staff </w:t>
      </w:r>
      <w:r>
        <w:rPr>
          <w:color w:val="auto"/>
        </w:rPr>
        <w:t>travelling overseas should have a basic disclosure check carried out every three years. If they already have an enhanced disclosure certificate</w:t>
      </w:r>
      <w:r w:rsidR="00AC6BA5">
        <w:rPr>
          <w:color w:val="auto"/>
        </w:rPr>
        <w:t>,</w:t>
      </w:r>
      <w:r>
        <w:rPr>
          <w:color w:val="auto"/>
        </w:rPr>
        <w:t xml:space="preserve"> they may provide this instead.</w:t>
      </w:r>
      <w:r w:rsidR="00AC6BA5">
        <w:rPr>
          <w:color w:val="auto"/>
        </w:rPr>
        <w:t xml:space="preserve"> </w:t>
      </w:r>
      <w:r>
        <w:rPr>
          <w:color w:val="auto"/>
        </w:rPr>
        <w:t xml:space="preserve">The process should be repeated such that no overseas visitor’s disclosure check is more than three years old. </w:t>
      </w:r>
    </w:p>
    <w:p w14:paraId="655D2C16" w14:textId="77777777" w:rsidR="006F7166" w:rsidRDefault="00DB3FA7">
      <w:pPr>
        <w:pStyle w:val="ListParagraph"/>
        <w:numPr>
          <w:ilvl w:val="0"/>
          <w:numId w:val="2"/>
        </w:numPr>
        <w:rPr>
          <w:color w:val="auto"/>
        </w:rPr>
      </w:pPr>
      <w:proofErr w:type="gramStart"/>
      <w:r>
        <w:rPr>
          <w:color w:val="auto"/>
          <w:lang w:val="en-GB"/>
        </w:rPr>
        <w:t>T</w:t>
      </w:r>
      <w:r>
        <w:rPr>
          <w:color w:val="auto"/>
        </w:rPr>
        <w:t>wo character</w:t>
      </w:r>
      <w:proofErr w:type="gramEnd"/>
      <w:r>
        <w:rPr>
          <w:color w:val="auto"/>
        </w:rPr>
        <w:t xml:space="preserve"> references, ideally including one from a church leader,</w:t>
      </w:r>
      <w:r>
        <w:rPr>
          <w:color w:val="auto"/>
          <w:lang w:val="en-GB"/>
        </w:rPr>
        <w:t xml:space="preserve"> (or a Co</w:t>
      </w:r>
      <w:r w:rsidR="00AC6BA5">
        <w:rPr>
          <w:color w:val="auto"/>
          <w:lang w:val="en-GB"/>
        </w:rPr>
        <w:t>n</w:t>
      </w:r>
      <w:r>
        <w:rPr>
          <w:color w:val="auto"/>
          <w:lang w:val="en-GB"/>
        </w:rPr>
        <w:t>fidential Declaration plus a reference from the member's church)</w:t>
      </w:r>
      <w:r>
        <w:rPr>
          <w:color w:val="auto"/>
        </w:rPr>
        <w:t xml:space="preserve"> will be sought</w:t>
      </w:r>
      <w:r>
        <w:rPr>
          <w:color w:val="auto"/>
          <w:lang w:val="en-GB"/>
        </w:rPr>
        <w:t xml:space="preserve"> for any CED member</w:t>
      </w:r>
      <w:r w:rsidR="007A5AB6">
        <w:rPr>
          <w:color w:val="auto"/>
          <w:lang w:val="en-GB"/>
        </w:rPr>
        <w:t>, staff</w:t>
      </w:r>
      <w:r>
        <w:rPr>
          <w:color w:val="auto"/>
          <w:lang w:val="en-GB"/>
        </w:rPr>
        <w:t xml:space="preserve"> or representative travelling overseas on CED business for the first time</w:t>
      </w:r>
      <w:r>
        <w:rPr>
          <w:color w:val="auto"/>
        </w:rPr>
        <w:t>. If any safeguarding concerns come to light, they will not be permitted to travel on behalf of CED.</w:t>
      </w:r>
    </w:p>
    <w:p w14:paraId="4271280D" w14:textId="77777777" w:rsidR="006F7166" w:rsidRDefault="00DB3FA7">
      <w:pPr>
        <w:numPr>
          <w:ilvl w:val="0"/>
          <w:numId w:val="2"/>
        </w:numPr>
        <w:rPr>
          <w:color w:val="auto"/>
        </w:rPr>
      </w:pPr>
      <w:r>
        <w:rPr>
          <w:color w:val="auto"/>
        </w:rPr>
        <w:t>A dated, written record of any concerns should be kept.</w:t>
      </w:r>
    </w:p>
    <w:p w14:paraId="0A1A4F52" w14:textId="77777777" w:rsidR="006F7166" w:rsidRDefault="00DB3FA7">
      <w:pPr>
        <w:numPr>
          <w:ilvl w:val="0"/>
          <w:numId w:val="2"/>
        </w:numPr>
        <w:rPr>
          <w:color w:val="auto"/>
        </w:rPr>
      </w:pPr>
      <w:r>
        <w:rPr>
          <w:color w:val="auto"/>
        </w:rPr>
        <w:t>Notes of all meetings, particular</w:t>
      </w:r>
      <w:r>
        <w:rPr>
          <w:color w:val="auto"/>
          <w:lang w:val="en-GB"/>
        </w:rPr>
        <w:t xml:space="preserve">ly where only one other person is present, </w:t>
      </w:r>
      <w:r>
        <w:rPr>
          <w:color w:val="auto"/>
        </w:rPr>
        <w:t xml:space="preserve">meetings should be kept. </w:t>
      </w:r>
    </w:p>
    <w:p w14:paraId="2E61B30A" w14:textId="77777777" w:rsidR="006F7166" w:rsidRDefault="00DB3FA7">
      <w:pPr>
        <w:numPr>
          <w:ilvl w:val="0"/>
          <w:numId w:val="2"/>
        </w:numPr>
        <w:rPr>
          <w:color w:val="auto"/>
        </w:rPr>
      </w:pPr>
      <w:r>
        <w:rPr>
          <w:color w:val="auto"/>
        </w:rPr>
        <w:t>Where possible these meetings should be held at the offices of CED’s partners or those of the project village.</w:t>
      </w:r>
    </w:p>
    <w:p w14:paraId="751E4D96" w14:textId="77777777" w:rsidR="006F7166" w:rsidRDefault="00DB3FA7">
      <w:pPr>
        <w:numPr>
          <w:ilvl w:val="0"/>
          <w:numId w:val="2"/>
        </w:numPr>
        <w:rPr>
          <w:color w:val="auto"/>
        </w:rPr>
      </w:pPr>
      <w:r>
        <w:rPr>
          <w:color w:val="auto"/>
        </w:rPr>
        <w:t>When on an overseas visit a diary of all activities, including time when not specifically conducting CED business, should be made.</w:t>
      </w:r>
    </w:p>
    <w:p w14:paraId="26937439" w14:textId="77777777" w:rsidR="006F7166" w:rsidRDefault="00DB3FA7">
      <w:pPr>
        <w:numPr>
          <w:ilvl w:val="0"/>
          <w:numId w:val="2"/>
        </w:numPr>
        <w:rPr>
          <w:color w:val="auto"/>
        </w:rPr>
      </w:pPr>
      <w:r>
        <w:rPr>
          <w:color w:val="auto"/>
        </w:rPr>
        <w:t xml:space="preserve">The formation of personal relationships with individuals (and/or their families) </w:t>
      </w:r>
      <w:r>
        <w:rPr>
          <w:color w:val="auto"/>
          <w:lang w:val="en-GB"/>
        </w:rPr>
        <w:t xml:space="preserve">who  are </w:t>
      </w:r>
      <w:r>
        <w:rPr>
          <w:color w:val="auto"/>
        </w:rPr>
        <w:t xml:space="preserve">project beneficiaries is strongly discouraged. </w:t>
      </w:r>
    </w:p>
    <w:p w14:paraId="01DE6496" w14:textId="77777777" w:rsidR="006F7166" w:rsidRDefault="006F7166">
      <w:pPr>
        <w:rPr>
          <w:color w:val="auto"/>
        </w:rPr>
      </w:pPr>
    </w:p>
    <w:p w14:paraId="4BC5729B" w14:textId="77777777" w:rsidR="006F7166" w:rsidRDefault="006F7166">
      <w:pPr>
        <w:rPr>
          <w:color w:val="auto"/>
        </w:rPr>
      </w:pPr>
    </w:p>
    <w:p w14:paraId="70CA9347" w14:textId="77777777" w:rsidR="006F7166" w:rsidRDefault="00DB3FA7">
      <w:pPr>
        <w:rPr>
          <w:color w:val="auto"/>
        </w:rPr>
      </w:pPr>
      <w:r>
        <w:rPr>
          <w:b/>
          <w:color w:val="auto"/>
        </w:rPr>
        <w:t>4. Action to be taken in the event of allegations against CED members</w:t>
      </w:r>
      <w:r w:rsidR="007A5AB6">
        <w:rPr>
          <w:b/>
          <w:color w:val="auto"/>
        </w:rPr>
        <w:t>, staff</w:t>
      </w:r>
      <w:r>
        <w:rPr>
          <w:b/>
          <w:color w:val="auto"/>
        </w:rPr>
        <w:t xml:space="preserve"> and other representatives</w:t>
      </w:r>
      <w:r>
        <w:rPr>
          <w:color w:val="auto"/>
        </w:rPr>
        <w:t>.</w:t>
      </w:r>
    </w:p>
    <w:p w14:paraId="2680FC03" w14:textId="77777777" w:rsidR="006F7166" w:rsidRDefault="006F7166">
      <w:pPr>
        <w:rPr>
          <w:color w:val="auto"/>
        </w:rPr>
      </w:pPr>
    </w:p>
    <w:p w14:paraId="3D50C440" w14:textId="5F0EC354" w:rsidR="006F7166" w:rsidRDefault="00DB3FA7">
      <w:pPr>
        <w:pStyle w:val="ListParagraph"/>
        <w:numPr>
          <w:ilvl w:val="0"/>
          <w:numId w:val="4"/>
        </w:numPr>
        <w:rPr>
          <w:color w:val="auto"/>
        </w:rPr>
      </w:pPr>
      <w:r>
        <w:rPr>
          <w:color w:val="auto"/>
        </w:rPr>
        <w:t xml:space="preserve">The </w:t>
      </w:r>
      <w:r w:rsidRPr="00592099">
        <w:rPr>
          <w:color w:val="auto"/>
        </w:rPr>
        <w:t>CE</w:t>
      </w:r>
      <w:r w:rsidR="005B1137" w:rsidRPr="00592099">
        <w:rPr>
          <w:color w:val="auto"/>
        </w:rPr>
        <w:t>O</w:t>
      </w:r>
      <w:r w:rsidR="00AC6BA5" w:rsidRPr="00592099">
        <w:rPr>
          <w:color w:val="auto"/>
        </w:rPr>
        <w:t>,</w:t>
      </w:r>
      <w:r w:rsidR="007A5AB6">
        <w:rPr>
          <w:color w:val="auto"/>
        </w:rPr>
        <w:t xml:space="preserve"> Jonathan Appleby,</w:t>
      </w:r>
      <w:r w:rsidR="00AC6BA5">
        <w:rPr>
          <w:color w:val="auto"/>
        </w:rPr>
        <w:t xml:space="preserve"> as the Safeguarding Lead,</w:t>
      </w:r>
      <w:r>
        <w:rPr>
          <w:color w:val="auto"/>
        </w:rPr>
        <w:t xml:space="preserve"> is the person to whom all details of allegations are to be forwarded.</w:t>
      </w:r>
      <w:r w:rsidR="00A00B9C">
        <w:rPr>
          <w:color w:val="auto"/>
        </w:rPr>
        <w:t xml:space="preserve">  Contact details are available on the website.</w:t>
      </w:r>
      <w:r w:rsidR="005B1137">
        <w:rPr>
          <w:color w:val="auto"/>
        </w:rPr>
        <w:t xml:space="preserve"> </w:t>
      </w:r>
      <w:r w:rsidR="005B1137" w:rsidRPr="00592099">
        <w:rPr>
          <w:color w:val="auto"/>
        </w:rPr>
        <w:t>Any allegation concerning the CEO should be made to the Chair</w:t>
      </w:r>
      <w:r w:rsidR="00982544">
        <w:rPr>
          <w:color w:val="auto"/>
        </w:rPr>
        <w:t xml:space="preserve"> of the Board</w:t>
      </w:r>
      <w:r w:rsidR="005B1137">
        <w:rPr>
          <w:color w:val="auto"/>
        </w:rPr>
        <w:t>.</w:t>
      </w:r>
      <w:r w:rsidR="00A00B9C">
        <w:rPr>
          <w:color w:val="auto"/>
        </w:rPr>
        <w:t xml:space="preserve"> </w:t>
      </w:r>
    </w:p>
    <w:p w14:paraId="5E8597D3" w14:textId="77777777" w:rsidR="006F7166" w:rsidRDefault="00DB3FA7">
      <w:pPr>
        <w:pStyle w:val="ListParagraph"/>
        <w:numPr>
          <w:ilvl w:val="0"/>
          <w:numId w:val="4"/>
        </w:numPr>
        <w:rPr>
          <w:color w:val="auto"/>
        </w:rPr>
      </w:pPr>
      <w:r>
        <w:rPr>
          <w:color w:val="auto"/>
        </w:rPr>
        <w:t xml:space="preserve">Whoever receives an allegation concerning psychological, physical or sexual abuse must communicate this immediately to the above. </w:t>
      </w:r>
    </w:p>
    <w:p w14:paraId="461E6BEB" w14:textId="2C722885" w:rsidR="006F7166" w:rsidRDefault="00DB3FA7">
      <w:pPr>
        <w:pStyle w:val="ListParagraph"/>
        <w:numPr>
          <w:ilvl w:val="0"/>
          <w:numId w:val="4"/>
        </w:numPr>
        <w:rPr>
          <w:color w:val="auto"/>
        </w:rPr>
      </w:pPr>
      <w:r>
        <w:rPr>
          <w:color w:val="auto"/>
        </w:rPr>
        <w:t xml:space="preserve">The </w:t>
      </w:r>
      <w:r w:rsidR="005B1137" w:rsidRPr="00592099">
        <w:rPr>
          <w:color w:val="auto"/>
        </w:rPr>
        <w:t>CEO or</w:t>
      </w:r>
      <w:r w:rsidR="005B1137">
        <w:rPr>
          <w:color w:val="auto"/>
        </w:rPr>
        <w:t xml:space="preserve"> </w:t>
      </w:r>
      <w:r>
        <w:rPr>
          <w:color w:val="auto"/>
        </w:rPr>
        <w:t>Chair will notify the appropriate authorities verbally and in writing</w:t>
      </w:r>
      <w:r w:rsidR="00D8568D">
        <w:rPr>
          <w:color w:val="auto"/>
        </w:rPr>
        <w:t xml:space="preserve"> within 24 hours</w:t>
      </w:r>
      <w:r>
        <w:rPr>
          <w:color w:val="auto"/>
        </w:rPr>
        <w:t xml:space="preserve">. </w:t>
      </w:r>
    </w:p>
    <w:p w14:paraId="181EF04A" w14:textId="77777777" w:rsidR="006F7166" w:rsidRDefault="00DB3FA7">
      <w:pPr>
        <w:pStyle w:val="ListParagraph"/>
        <w:numPr>
          <w:ilvl w:val="0"/>
          <w:numId w:val="4"/>
        </w:numPr>
        <w:rPr>
          <w:color w:val="auto"/>
        </w:rPr>
      </w:pPr>
      <w:r>
        <w:rPr>
          <w:color w:val="auto"/>
        </w:rPr>
        <w:t>The CED member</w:t>
      </w:r>
      <w:r w:rsidR="007A5AB6">
        <w:rPr>
          <w:color w:val="auto"/>
        </w:rPr>
        <w:t>, staff</w:t>
      </w:r>
      <w:r>
        <w:rPr>
          <w:color w:val="auto"/>
        </w:rPr>
        <w:t xml:space="preserve"> or other CED representative should be prevented from conducting any further CED business pending the outcome of the investigation of the allegation. At this point CED should inform the person concerned that an unspecified allegation has been made against them; </w:t>
      </w:r>
    </w:p>
    <w:p w14:paraId="75F4F928" w14:textId="77777777" w:rsidR="00D8568D" w:rsidRPr="003F6E1A" w:rsidRDefault="00DB3FA7" w:rsidP="00D8568D">
      <w:pPr>
        <w:pStyle w:val="ListParagraph"/>
        <w:numPr>
          <w:ilvl w:val="0"/>
          <w:numId w:val="4"/>
        </w:numPr>
        <w:rPr>
          <w:color w:val="auto"/>
        </w:rPr>
      </w:pPr>
      <w:r>
        <w:rPr>
          <w:color w:val="auto"/>
          <w:lang w:val="en-GB"/>
        </w:rPr>
        <w:t>CED will carry out an internal investigation</w:t>
      </w:r>
      <w:r w:rsidR="00D8568D">
        <w:rPr>
          <w:color w:val="auto"/>
          <w:lang w:val="en-GB"/>
        </w:rPr>
        <w:t xml:space="preserve"> within four weeks</w:t>
      </w:r>
      <w:r w:rsidR="003F6E1A">
        <w:rPr>
          <w:color w:val="auto"/>
          <w:lang w:val="en-GB"/>
        </w:rPr>
        <w:t xml:space="preserve">. If the </w:t>
      </w:r>
      <w:r w:rsidR="00D8568D" w:rsidRPr="003F6E1A">
        <w:rPr>
          <w:color w:val="auto"/>
        </w:rPr>
        <w:t xml:space="preserve">incident is </w:t>
      </w:r>
      <w:r w:rsidR="003F6E1A">
        <w:rPr>
          <w:color w:val="auto"/>
        </w:rPr>
        <w:t xml:space="preserve">deemed sufficiently </w:t>
      </w:r>
      <w:r w:rsidR="00D8568D" w:rsidRPr="003F6E1A">
        <w:rPr>
          <w:color w:val="auto"/>
        </w:rPr>
        <w:t xml:space="preserve">serious </w:t>
      </w:r>
      <w:r w:rsidR="003F6E1A">
        <w:rPr>
          <w:color w:val="auto"/>
        </w:rPr>
        <w:t xml:space="preserve">it should </w:t>
      </w:r>
      <w:r w:rsidR="00D8568D" w:rsidRPr="003F6E1A">
        <w:rPr>
          <w:color w:val="auto"/>
        </w:rPr>
        <w:t xml:space="preserve">be reported to the Charity Commission. This will depend on the severity of the incident and the likelihood that it will have a detrimental impact upon </w:t>
      </w:r>
      <w:r w:rsidR="003F6E1A">
        <w:rPr>
          <w:color w:val="auto"/>
        </w:rPr>
        <w:t>CED’s</w:t>
      </w:r>
      <w:r w:rsidR="00D8568D" w:rsidRPr="003F6E1A">
        <w:rPr>
          <w:color w:val="auto"/>
        </w:rPr>
        <w:t xml:space="preserve"> reputation.  </w:t>
      </w:r>
    </w:p>
    <w:p w14:paraId="52076F2A" w14:textId="77777777" w:rsidR="006F7166" w:rsidRDefault="00DB3FA7">
      <w:pPr>
        <w:pStyle w:val="ListParagraph"/>
        <w:numPr>
          <w:ilvl w:val="0"/>
          <w:numId w:val="4"/>
        </w:numPr>
        <w:rPr>
          <w:color w:val="auto"/>
        </w:rPr>
      </w:pPr>
      <w:r>
        <w:rPr>
          <w:color w:val="auto"/>
        </w:rPr>
        <w:t>The investigating authority is responsible for giving any further information to the person concerned and CED must not do so without explicit authorisation from the investigating body;</w:t>
      </w:r>
    </w:p>
    <w:p w14:paraId="02406D03" w14:textId="77777777" w:rsidR="006F7166" w:rsidRDefault="00DB3FA7">
      <w:pPr>
        <w:pStyle w:val="ListParagraph"/>
        <w:numPr>
          <w:ilvl w:val="0"/>
          <w:numId w:val="4"/>
        </w:numPr>
        <w:rPr>
          <w:b/>
          <w:color w:val="auto"/>
        </w:rPr>
      </w:pPr>
      <w:r>
        <w:rPr>
          <w:color w:val="auto"/>
        </w:rPr>
        <w:t xml:space="preserve">After the investigating authority informs CED of its proposed course of action, including possibly taking no further action, CED will keep the person concerned fully informed, </w:t>
      </w:r>
      <w:r>
        <w:rPr>
          <w:color w:val="auto"/>
        </w:rPr>
        <w:lastRenderedPageBreak/>
        <w:t xml:space="preserve">both verbally and in writing. However absolutely no information about the nature or source of the allegation should be divulged to, or discussed with, the person against whom allegations have been made; </w:t>
      </w:r>
    </w:p>
    <w:p w14:paraId="7CA2BBE4" w14:textId="77777777" w:rsidR="006F7166" w:rsidRDefault="00DB3FA7">
      <w:pPr>
        <w:pStyle w:val="ListParagraph"/>
        <w:numPr>
          <w:ilvl w:val="0"/>
          <w:numId w:val="4"/>
        </w:numPr>
        <w:rPr>
          <w:b/>
          <w:color w:val="auto"/>
        </w:rPr>
      </w:pPr>
      <w:r>
        <w:rPr>
          <w:color w:val="auto"/>
        </w:rPr>
        <w:t>During the course of any investigation, intensive ongoing support of the person concerned must be implemented but should be provided by an appropriate person outside CED, usually the member's pastor or other suitable person. Anyone involved in giving this support should be made aware that if the allegation culminates in a court case, they could be subpoenaed to give evidence;</w:t>
      </w:r>
    </w:p>
    <w:p w14:paraId="0A0F15B1" w14:textId="77777777" w:rsidR="006F7166" w:rsidRDefault="00DB3FA7">
      <w:pPr>
        <w:pStyle w:val="ListParagraph"/>
        <w:numPr>
          <w:ilvl w:val="0"/>
          <w:numId w:val="4"/>
        </w:numPr>
        <w:rPr>
          <w:b/>
          <w:color w:val="auto"/>
        </w:rPr>
      </w:pPr>
      <w:r>
        <w:rPr>
          <w:color w:val="auto"/>
        </w:rPr>
        <w:t>If the investigation is pursued to the point of possible legal action, the accused will be advised to obtain legal representation;</w:t>
      </w:r>
    </w:p>
    <w:p w14:paraId="7FBFD514" w14:textId="77777777" w:rsidR="006F7166" w:rsidRDefault="00DB3FA7">
      <w:pPr>
        <w:pStyle w:val="ListParagraph"/>
        <w:numPr>
          <w:ilvl w:val="0"/>
          <w:numId w:val="4"/>
        </w:numPr>
        <w:rPr>
          <w:b/>
          <w:color w:val="auto"/>
        </w:rPr>
      </w:pPr>
      <w:r>
        <w:rPr>
          <w:color w:val="auto"/>
        </w:rPr>
        <w:t xml:space="preserve">Once investigation of the allegation by the relevant authorities is completed, the Chair must present a full report of the findings of the investigation to the CED Board, to consider whether the person concerned should continue being a CED member or </w:t>
      </w:r>
      <w:r w:rsidR="00A45949">
        <w:rPr>
          <w:color w:val="auto"/>
        </w:rPr>
        <w:t xml:space="preserve">member of staff or </w:t>
      </w:r>
      <w:r>
        <w:rPr>
          <w:color w:val="auto"/>
          <w:lang w:val="en-GB"/>
        </w:rPr>
        <w:t xml:space="preserve">prevented </w:t>
      </w:r>
      <w:r>
        <w:rPr>
          <w:color w:val="auto"/>
        </w:rPr>
        <w:t>from any further association with CED, and also whether CED should learn any lessons from the incident;</w:t>
      </w:r>
    </w:p>
    <w:p w14:paraId="7D5E5FCA" w14:textId="77777777" w:rsidR="00B85125" w:rsidRPr="00D8568D" w:rsidRDefault="00DB3FA7" w:rsidP="00B85125">
      <w:pPr>
        <w:pStyle w:val="ListParagraph"/>
        <w:numPr>
          <w:ilvl w:val="0"/>
          <w:numId w:val="4"/>
        </w:numPr>
        <w:rPr>
          <w:color w:val="auto"/>
        </w:rPr>
      </w:pPr>
      <w:r>
        <w:rPr>
          <w:color w:val="auto"/>
        </w:rPr>
        <w:t>The decision will be recorded by CED and s/he advised in writing of the outcome of the decision by the</w:t>
      </w:r>
      <w:r>
        <w:rPr>
          <w:color w:val="auto"/>
          <w:lang w:val="en-GB"/>
        </w:rPr>
        <w:t xml:space="preserve"> directors</w:t>
      </w:r>
      <w:r>
        <w:rPr>
          <w:color w:val="auto"/>
        </w:rPr>
        <w:t>;</w:t>
      </w:r>
      <w:r w:rsidR="00A00B9C">
        <w:rPr>
          <w:color w:val="auto"/>
        </w:rPr>
        <w:t xml:space="preserve"> the CED Secretary would be responsible for secure retention of this information.  </w:t>
      </w:r>
    </w:p>
    <w:p w14:paraId="288DCE95" w14:textId="77777777" w:rsidR="00D8568D" w:rsidRPr="00B85125" w:rsidRDefault="00D8568D" w:rsidP="00B85125">
      <w:pPr>
        <w:pStyle w:val="ListParagraph"/>
        <w:numPr>
          <w:ilvl w:val="0"/>
          <w:numId w:val="4"/>
        </w:numPr>
        <w:rPr>
          <w:b/>
          <w:color w:val="auto"/>
        </w:rPr>
      </w:pPr>
      <w:bookmarkStart w:id="0" w:name="_Hlk54086298"/>
      <w:r>
        <w:rPr>
          <w:color w:val="auto"/>
        </w:rPr>
        <w:t>A register of safeguarding events will be maintained by the CED Secretary.</w:t>
      </w:r>
    </w:p>
    <w:bookmarkEnd w:id="0"/>
    <w:p w14:paraId="633AE9E4" w14:textId="77777777" w:rsidR="006F7166" w:rsidRPr="00B85125" w:rsidRDefault="00DB3FA7">
      <w:pPr>
        <w:pStyle w:val="ListParagraph"/>
        <w:numPr>
          <w:ilvl w:val="0"/>
          <w:numId w:val="4"/>
        </w:numPr>
        <w:rPr>
          <w:color w:val="auto"/>
        </w:rPr>
      </w:pPr>
      <w:r>
        <w:rPr>
          <w:color w:val="auto"/>
        </w:rPr>
        <w:t>All papers relating to un</w:t>
      </w:r>
      <w:r w:rsidR="00A00B9C">
        <w:rPr>
          <w:color w:val="auto"/>
        </w:rPr>
        <w:t>substantiated</w:t>
      </w:r>
      <w:r>
        <w:rPr>
          <w:color w:val="auto"/>
        </w:rPr>
        <w:t xml:space="preserve"> allegations should also be kept. The CED member should be informed that they have a right to see these papers except for confidential information from third parties, and to add their own statement if they so wish.  A letter should be sent from the investigating authority detailing the outcome and a copy should remain on file;</w:t>
      </w:r>
    </w:p>
    <w:p w14:paraId="662BBFC5" w14:textId="77777777" w:rsidR="00B85125" w:rsidRDefault="00B85125">
      <w:pPr>
        <w:pStyle w:val="ListParagraph"/>
        <w:numPr>
          <w:ilvl w:val="0"/>
          <w:numId w:val="4"/>
        </w:numPr>
        <w:rPr>
          <w:b/>
          <w:color w:val="auto"/>
        </w:rPr>
      </w:pPr>
      <w:r>
        <w:rPr>
          <w:color w:val="auto"/>
        </w:rPr>
        <w:t xml:space="preserve">A </w:t>
      </w:r>
      <w:r w:rsidRPr="00B85125">
        <w:rPr>
          <w:rFonts w:ascii="Franklin Gothic Book" w:hAnsi="Franklin Gothic Book"/>
        </w:rPr>
        <w:t xml:space="preserve">case by case decision on retaining information </w:t>
      </w:r>
      <w:r>
        <w:rPr>
          <w:rFonts w:ascii="Franklin Gothic Book" w:hAnsi="Franklin Gothic Book"/>
        </w:rPr>
        <w:t xml:space="preserve">will be made taking into account the nature of the complaint and relevant </w:t>
      </w:r>
      <w:r w:rsidRPr="00B85125">
        <w:rPr>
          <w:rFonts w:ascii="Franklin Gothic Book" w:hAnsi="Franklin Gothic Book"/>
        </w:rPr>
        <w:t>data protection principles</w:t>
      </w:r>
      <w:r>
        <w:rPr>
          <w:rFonts w:ascii="Franklin Gothic Book" w:hAnsi="Franklin Gothic Book"/>
        </w:rPr>
        <w:t xml:space="preserve">.  </w:t>
      </w:r>
      <w:r w:rsidRPr="00C1016C">
        <w:rPr>
          <w:rFonts w:ascii="Franklin Gothic Book" w:hAnsi="Franklin Gothic Book"/>
        </w:rPr>
        <w:t xml:space="preserve">If </w:t>
      </w:r>
      <w:r>
        <w:rPr>
          <w:rFonts w:ascii="Franklin Gothic Book" w:hAnsi="Franklin Gothic Book"/>
        </w:rPr>
        <w:t xml:space="preserve">a decision is taken to </w:t>
      </w:r>
      <w:r w:rsidRPr="00C1016C">
        <w:rPr>
          <w:rFonts w:ascii="Franklin Gothic Book" w:hAnsi="Franklin Gothic Book"/>
        </w:rPr>
        <w:t>retain the information</w:t>
      </w:r>
      <w:r>
        <w:rPr>
          <w:rFonts w:ascii="Franklin Gothic Book" w:hAnsi="Franklin Gothic Book"/>
        </w:rPr>
        <w:t>,</w:t>
      </w:r>
      <w:r w:rsidRPr="00C1016C">
        <w:rPr>
          <w:rFonts w:ascii="Franklin Gothic Book" w:hAnsi="Franklin Gothic Book"/>
        </w:rPr>
        <w:t xml:space="preserve"> the duration </w:t>
      </w:r>
      <w:r>
        <w:rPr>
          <w:rFonts w:ascii="Franklin Gothic Book" w:hAnsi="Franklin Gothic Book"/>
        </w:rPr>
        <w:t>should also be defined</w:t>
      </w:r>
      <w:r w:rsidRPr="00C1016C">
        <w:rPr>
          <w:rFonts w:ascii="Franklin Gothic Book" w:hAnsi="Franklin Gothic Book"/>
        </w:rPr>
        <w:t xml:space="preserve">.  </w:t>
      </w:r>
    </w:p>
    <w:p w14:paraId="3768D0A5" w14:textId="77777777" w:rsidR="006F7166" w:rsidRDefault="00DB3FA7">
      <w:pPr>
        <w:pStyle w:val="ListParagraph"/>
        <w:numPr>
          <w:ilvl w:val="0"/>
          <w:numId w:val="4"/>
        </w:numPr>
        <w:rPr>
          <w:b/>
          <w:color w:val="auto"/>
        </w:rPr>
      </w:pPr>
      <w:r>
        <w:rPr>
          <w:color w:val="auto"/>
        </w:rPr>
        <w:t xml:space="preserve">The CED member </w:t>
      </w:r>
      <w:r w:rsidR="007A5AB6">
        <w:rPr>
          <w:color w:val="auto"/>
        </w:rPr>
        <w:t xml:space="preserve">or staff member </w:t>
      </w:r>
      <w:r>
        <w:rPr>
          <w:color w:val="auto"/>
        </w:rPr>
        <w:t>will need help in coming to terms with the allegation whatever the outcome of the investigation. CED must consider what help can be made available and encourage its use;</w:t>
      </w:r>
    </w:p>
    <w:p w14:paraId="4B1908E1" w14:textId="77777777" w:rsidR="006F7166" w:rsidRPr="00DB3FA7" w:rsidRDefault="00DB3FA7">
      <w:pPr>
        <w:pStyle w:val="ListParagraph"/>
        <w:numPr>
          <w:ilvl w:val="0"/>
          <w:numId w:val="4"/>
        </w:numPr>
        <w:rPr>
          <w:b/>
          <w:color w:val="auto"/>
        </w:rPr>
      </w:pPr>
      <w:r>
        <w:rPr>
          <w:color w:val="auto"/>
        </w:rPr>
        <w:t>Consideration should also be given to the implications and impact of accusations on others even if they prove to be unfounded, e.g. what legacy remains with those who were involved and what assistance is available to help them with their feelings.</w:t>
      </w:r>
    </w:p>
    <w:p w14:paraId="1A768FC2" w14:textId="77777777" w:rsidR="00DB3FA7" w:rsidRDefault="00DB3FA7" w:rsidP="00DB3FA7">
      <w:pPr>
        <w:rPr>
          <w:b/>
          <w:color w:val="auto"/>
        </w:rPr>
      </w:pPr>
    </w:p>
    <w:p w14:paraId="5175CE28" w14:textId="77777777" w:rsidR="00DB3FA7" w:rsidRDefault="00DB3FA7" w:rsidP="00DB3FA7">
      <w:pPr>
        <w:rPr>
          <w:b/>
          <w:color w:val="auto"/>
        </w:rPr>
      </w:pPr>
    </w:p>
    <w:p w14:paraId="2F72B5B7" w14:textId="77777777" w:rsidR="006F7166" w:rsidRDefault="006F7166">
      <w:pPr>
        <w:rPr>
          <w:b/>
          <w:color w:val="auto"/>
        </w:rPr>
      </w:pPr>
    </w:p>
    <w:p w14:paraId="5EB1F782" w14:textId="77777777" w:rsidR="006F7166" w:rsidRDefault="006F7166">
      <w:pPr>
        <w:rPr>
          <w:b/>
          <w:color w:val="auto"/>
        </w:rPr>
      </w:pPr>
    </w:p>
    <w:p w14:paraId="6C7121BF" w14:textId="77777777" w:rsidR="006F7166" w:rsidRDefault="006F7166">
      <w:pPr>
        <w:rPr>
          <w:b/>
          <w:color w:val="auto"/>
        </w:rPr>
      </w:pPr>
    </w:p>
    <w:p w14:paraId="4B288F54" w14:textId="77777777" w:rsidR="00DB3FA7" w:rsidRDefault="00DB3FA7">
      <w:pPr>
        <w:rPr>
          <w:b/>
          <w:color w:val="auto"/>
        </w:rPr>
      </w:pPr>
    </w:p>
    <w:p w14:paraId="6E0F5591" w14:textId="77777777" w:rsidR="00DB3FA7" w:rsidRDefault="00DB3FA7">
      <w:pPr>
        <w:rPr>
          <w:b/>
          <w:color w:val="auto"/>
        </w:rPr>
      </w:pPr>
    </w:p>
    <w:p w14:paraId="5D528386" w14:textId="77777777" w:rsidR="00DB3FA7" w:rsidRDefault="00DB3FA7">
      <w:pPr>
        <w:rPr>
          <w:b/>
          <w:color w:val="auto"/>
        </w:rPr>
      </w:pPr>
    </w:p>
    <w:p w14:paraId="418CA297" w14:textId="77777777" w:rsidR="00DB3FA7" w:rsidRDefault="00DB3FA7">
      <w:pPr>
        <w:rPr>
          <w:b/>
          <w:color w:val="auto"/>
        </w:rPr>
      </w:pPr>
    </w:p>
    <w:p w14:paraId="4B465ECF" w14:textId="77777777" w:rsidR="00DB3FA7" w:rsidRDefault="00DB3FA7">
      <w:pPr>
        <w:rPr>
          <w:b/>
          <w:color w:val="auto"/>
        </w:rPr>
      </w:pPr>
    </w:p>
    <w:p w14:paraId="65B010E0" w14:textId="77777777" w:rsidR="00DB3FA7" w:rsidRDefault="00DB3FA7">
      <w:pPr>
        <w:rPr>
          <w:b/>
          <w:color w:val="auto"/>
        </w:rPr>
      </w:pPr>
    </w:p>
    <w:p w14:paraId="2E844DDF" w14:textId="77777777" w:rsidR="00DB3FA7" w:rsidRDefault="00DB3FA7">
      <w:pPr>
        <w:rPr>
          <w:b/>
          <w:color w:val="auto"/>
        </w:rPr>
      </w:pPr>
    </w:p>
    <w:p w14:paraId="24AC3E74" w14:textId="77777777" w:rsidR="00DB3FA7" w:rsidRDefault="00DB3FA7">
      <w:pPr>
        <w:rPr>
          <w:b/>
          <w:color w:val="auto"/>
        </w:rPr>
      </w:pPr>
    </w:p>
    <w:p w14:paraId="7EE4A4D4" w14:textId="77777777" w:rsidR="00DB3FA7" w:rsidRDefault="00DB3FA7">
      <w:pPr>
        <w:rPr>
          <w:b/>
          <w:color w:val="auto"/>
        </w:rPr>
      </w:pPr>
    </w:p>
    <w:p w14:paraId="24945E2A" w14:textId="77777777" w:rsidR="00DB3FA7" w:rsidRDefault="00DB3FA7">
      <w:pPr>
        <w:rPr>
          <w:b/>
          <w:color w:val="auto"/>
        </w:rPr>
      </w:pPr>
    </w:p>
    <w:p w14:paraId="6AED428D" w14:textId="77777777" w:rsidR="00DB3FA7" w:rsidRDefault="00DB3FA7">
      <w:pPr>
        <w:rPr>
          <w:b/>
          <w:color w:val="auto"/>
        </w:rPr>
      </w:pPr>
    </w:p>
    <w:p w14:paraId="2B1F1E80" w14:textId="77777777" w:rsidR="006F7166" w:rsidRDefault="006F7166">
      <w:pPr>
        <w:rPr>
          <w:b/>
          <w:color w:val="auto"/>
          <w:sz w:val="24"/>
          <w:lang w:val="en-US"/>
        </w:rPr>
      </w:pPr>
    </w:p>
    <w:p w14:paraId="63E1D0F7" w14:textId="77777777" w:rsidR="006F7166" w:rsidRDefault="00DB3FA7">
      <w:pPr>
        <w:rPr>
          <w:b/>
          <w:color w:val="auto"/>
          <w:sz w:val="24"/>
          <w:lang w:val="en-US"/>
        </w:rPr>
      </w:pPr>
      <w:r>
        <w:rPr>
          <w:b/>
          <w:color w:val="auto"/>
          <w:sz w:val="24"/>
          <w:lang w:val="en-US"/>
        </w:rPr>
        <w:t>Appendix 1 : Abuse – what is it, and how can we recognize it?</w:t>
      </w:r>
    </w:p>
    <w:p w14:paraId="691A83F9" w14:textId="77777777" w:rsidR="006F7166" w:rsidRDefault="006F7166">
      <w:pPr>
        <w:rPr>
          <w:b/>
          <w:color w:val="auto"/>
          <w:sz w:val="24"/>
          <w:lang w:val="en-US"/>
        </w:rPr>
      </w:pPr>
    </w:p>
    <w:p w14:paraId="3945C50B" w14:textId="77777777" w:rsidR="006F7166" w:rsidRDefault="00DB3FA7">
      <w:pPr>
        <w:rPr>
          <w:bCs/>
          <w:color w:val="auto"/>
        </w:rPr>
      </w:pPr>
      <w:r>
        <w:rPr>
          <w:b/>
          <w:bCs/>
          <w:color w:val="auto"/>
        </w:rPr>
        <w:t>What is Abuse?</w:t>
      </w:r>
    </w:p>
    <w:p w14:paraId="44A50BD1" w14:textId="77777777" w:rsidR="006F7166" w:rsidRDefault="00DB3FA7">
      <w:pPr>
        <w:pStyle w:val="NormalWeb"/>
        <w:spacing w:before="0" w:after="0" w:line="276" w:lineRule="auto"/>
        <w:rPr>
          <w:rFonts w:ascii="Arial" w:hAnsi="Arial"/>
          <w:sz w:val="22"/>
          <w:lang w:val="en"/>
        </w:rPr>
      </w:pPr>
      <w:r>
        <w:rPr>
          <w:rFonts w:ascii="Arial" w:hAnsi="Arial"/>
          <w:sz w:val="22"/>
        </w:rPr>
        <w:t xml:space="preserve">Organisations should not limit their view of what constitutes abuse or neglect, since they can take many forms and the circumstances of the individual case should always be considered.  </w:t>
      </w:r>
    </w:p>
    <w:p w14:paraId="0AC31C15" w14:textId="77777777" w:rsidR="006F7166" w:rsidRDefault="006F7166">
      <w:pPr>
        <w:pStyle w:val="NormalWeb"/>
        <w:spacing w:before="0" w:after="0" w:line="276" w:lineRule="auto"/>
        <w:rPr>
          <w:rFonts w:ascii="Arial" w:hAnsi="Arial"/>
          <w:sz w:val="22"/>
          <w:lang w:val="en"/>
        </w:rPr>
      </w:pPr>
    </w:p>
    <w:p w14:paraId="7A190C38" w14:textId="77777777" w:rsidR="006F7166" w:rsidRDefault="00DB3FA7">
      <w:pPr>
        <w:pStyle w:val="NormalWeb"/>
        <w:spacing w:before="0" w:after="0" w:line="276" w:lineRule="auto"/>
        <w:rPr>
          <w:rFonts w:ascii="Arial" w:hAnsi="Arial"/>
          <w:sz w:val="22"/>
          <w:lang w:val="en"/>
        </w:rPr>
      </w:pPr>
      <w:r>
        <w:rPr>
          <w:rFonts w:ascii="Arial" w:hAnsi="Arial"/>
          <w:sz w:val="22"/>
        </w:rPr>
        <w:t>The following are recognised forms of abuse of both children and adults:</w:t>
      </w:r>
    </w:p>
    <w:p w14:paraId="2DF6C232" w14:textId="77777777" w:rsidR="006F7166" w:rsidRDefault="006F7166">
      <w:pPr>
        <w:pStyle w:val="Heading5"/>
        <w:spacing w:before="0" w:after="0"/>
        <w:rPr>
          <w:color w:val="auto"/>
        </w:rPr>
      </w:pPr>
    </w:p>
    <w:p w14:paraId="6E84C9C2" w14:textId="77777777" w:rsidR="006F7166" w:rsidRDefault="00DB3FA7">
      <w:pPr>
        <w:pStyle w:val="Heading5"/>
        <w:spacing w:before="0" w:after="0"/>
        <w:ind w:left="720"/>
        <w:rPr>
          <w:b/>
          <w:bCs/>
          <w:color w:val="auto"/>
        </w:rPr>
      </w:pPr>
      <w:r>
        <w:rPr>
          <w:color w:val="auto"/>
        </w:rPr>
        <w:t>Physical Abuse: including assault, hitting, slapping, pushing, misuse of medication, restraint or inappropriate physical sanctions.</w:t>
      </w:r>
    </w:p>
    <w:p w14:paraId="773D1042" w14:textId="77777777" w:rsidR="006F7166" w:rsidRDefault="006F7166">
      <w:pPr>
        <w:pStyle w:val="Heading5"/>
        <w:spacing w:before="0" w:after="0"/>
        <w:ind w:left="720"/>
        <w:rPr>
          <w:color w:val="auto"/>
        </w:rPr>
      </w:pPr>
    </w:p>
    <w:p w14:paraId="7CA5ACAF" w14:textId="77777777" w:rsidR="006F7166" w:rsidRDefault="00DB3FA7">
      <w:pPr>
        <w:pStyle w:val="Heading5"/>
        <w:spacing w:before="0" w:after="0"/>
        <w:ind w:left="720"/>
        <w:rPr>
          <w:color w:val="auto"/>
        </w:rPr>
      </w:pPr>
      <w:r>
        <w:rPr>
          <w:color w:val="auto"/>
        </w:rPr>
        <w:t>Sexual Abuse: including rape, indecent exposure, sexual harassment, inappropriate looking or touching, sexual teasing or innuendo, sexual photography, subjection to pornography or witnessing sexual acts, indecent exposure and sexual assault or sexual acts to which the person has not consented or was pressured into consenting.</w:t>
      </w:r>
    </w:p>
    <w:p w14:paraId="7ADEA763" w14:textId="77777777" w:rsidR="006F7166" w:rsidRDefault="006F7166">
      <w:pPr>
        <w:pStyle w:val="NormalWeb"/>
        <w:spacing w:before="0" w:after="0" w:line="276" w:lineRule="auto"/>
        <w:ind w:left="720"/>
        <w:rPr>
          <w:rFonts w:ascii="Arial" w:hAnsi="Arial"/>
          <w:sz w:val="22"/>
          <w:lang w:val="en"/>
        </w:rPr>
      </w:pPr>
    </w:p>
    <w:p w14:paraId="4AC87DDF" w14:textId="77777777" w:rsidR="006F7166" w:rsidRDefault="00DB3FA7">
      <w:pPr>
        <w:ind w:left="720"/>
        <w:rPr>
          <w:color w:val="auto"/>
        </w:rPr>
      </w:pPr>
      <w:r>
        <w:rPr>
          <w:color w:val="auto"/>
        </w:rPr>
        <w:t>Neglect and acts of omission</w:t>
      </w:r>
      <w:r>
        <w:rPr>
          <w:b/>
          <w:color w:val="auto"/>
        </w:rPr>
        <w:t>:</w:t>
      </w:r>
      <w:r>
        <w:rPr>
          <w:color w:val="auto"/>
        </w:rPr>
        <w:t xml:space="preserve"> including ignoring medical, emotional or physical care needs, failure to provide access to appropriate health, care and support or educational services, the withholding of the necessities of life, such as medication, adequate nutrition and heating.</w:t>
      </w:r>
    </w:p>
    <w:p w14:paraId="0891A610" w14:textId="77777777" w:rsidR="006F7166" w:rsidRDefault="006F7166">
      <w:pPr>
        <w:ind w:left="720"/>
        <w:rPr>
          <w:color w:val="auto"/>
        </w:rPr>
      </w:pPr>
    </w:p>
    <w:p w14:paraId="569C6351" w14:textId="77777777" w:rsidR="006F7166" w:rsidRDefault="00DB3FA7">
      <w:pPr>
        <w:pStyle w:val="Heading5"/>
        <w:spacing w:before="0" w:after="0"/>
        <w:ind w:left="720"/>
        <w:rPr>
          <w:b/>
          <w:color w:val="auto"/>
        </w:rPr>
      </w:pPr>
      <w:r>
        <w:rPr>
          <w:color w:val="auto"/>
        </w:rPr>
        <w:lastRenderedPageBreak/>
        <w:t xml:space="preserve">Psychological Abuse: 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489AFA69" w14:textId="77777777" w:rsidR="006F7166" w:rsidRDefault="006F7166">
      <w:pPr>
        <w:pStyle w:val="Heading5"/>
        <w:spacing w:before="0" w:after="0"/>
        <w:ind w:left="720"/>
        <w:rPr>
          <w:b/>
          <w:color w:val="auto"/>
        </w:rPr>
      </w:pPr>
    </w:p>
    <w:p w14:paraId="7C855BC4" w14:textId="77777777" w:rsidR="006F7166" w:rsidRDefault="00DB3FA7">
      <w:pPr>
        <w:pStyle w:val="Heading5"/>
        <w:spacing w:before="0" w:after="0"/>
        <w:ind w:left="720"/>
        <w:rPr>
          <w:b/>
          <w:color w:val="auto"/>
        </w:rPr>
      </w:pPr>
      <w:r>
        <w:rPr>
          <w:color w:val="auto"/>
        </w:rPr>
        <w:t>Modern Slavery: encompasses slavery, human trafficking, forced labour and domestic servitude. Traffickers and slave masters use whatever means they have at their disposal to coerce, deceive and force individuals into a life of abuse, servitude and inhumane treatment.</w:t>
      </w:r>
    </w:p>
    <w:p w14:paraId="231E754D" w14:textId="77777777" w:rsidR="006F7166" w:rsidRDefault="006F7166">
      <w:pPr>
        <w:pStyle w:val="Heading5"/>
        <w:spacing w:before="0" w:after="0"/>
        <w:ind w:left="720"/>
        <w:rPr>
          <w:b/>
          <w:color w:val="auto"/>
        </w:rPr>
      </w:pPr>
    </w:p>
    <w:p w14:paraId="6286D1A1" w14:textId="77777777" w:rsidR="006F7166" w:rsidRDefault="00DB3FA7">
      <w:pPr>
        <w:pStyle w:val="Heading5"/>
        <w:spacing w:before="0" w:after="0"/>
        <w:ind w:left="720"/>
        <w:rPr>
          <w:b/>
          <w:bCs/>
          <w:color w:val="auto"/>
        </w:rPr>
      </w:pPr>
      <w:r>
        <w:rPr>
          <w:color w:val="auto"/>
        </w:rPr>
        <w:t xml:space="preserve">Domestic Violence: including psychological, physical, sexual, financial, emotional abuse; so called ‘honour’ based violence.  The definition has been extended recently to include: </w:t>
      </w:r>
    </w:p>
    <w:p w14:paraId="6924F257" w14:textId="77777777" w:rsidR="006F7166" w:rsidRDefault="00DB3FA7">
      <w:pPr>
        <w:pStyle w:val="Heading5"/>
        <w:numPr>
          <w:ilvl w:val="0"/>
          <w:numId w:val="9"/>
        </w:numPr>
        <w:spacing w:before="0" w:after="0"/>
        <w:rPr>
          <w:b/>
          <w:bCs/>
          <w:color w:val="auto"/>
        </w:rPr>
      </w:pPr>
      <w:r>
        <w:rPr>
          <w:color w:val="auto"/>
        </w:rPr>
        <w:t>Incident or pattern of incidents of controlling, coercive or threatening behaviour, violence or abuse... by someone who is or has been an intimate partner or family member regardless of gender or sexuality.  It includes: Female Genital Mutilation and forced marriage.  The age range has been extended down to 16.</w:t>
      </w:r>
    </w:p>
    <w:p w14:paraId="4971E02D" w14:textId="77777777" w:rsidR="006F7166" w:rsidRDefault="006F7166">
      <w:pPr>
        <w:pStyle w:val="Heading5"/>
        <w:spacing w:before="0" w:after="0"/>
        <w:ind w:left="720"/>
        <w:rPr>
          <w:color w:val="auto"/>
        </w:rPr>
      </w:pPr>
    </w:p>
    <w:p w14:paraId="30B1FFC1" w14:textId="77777777" w:rsidR="006F7166" w:rsidRDefault="006F7166">
      <w:pPr>
        <w:pStyle w:val="NormalWeb"/>
        <w:spacing w:before="0" w:after="0" w:line="276" w:lineRule="auto"/>
        <w:rPr>
          <w:rFonts w:ascii="Arial" w:hAnsi="Arial"/>
          <w:sz w:val="22"/>
          <w:lang w:val="en"/>
        </w:rPr>
      </w:pPr>
    </w:p>
    <w:p w14:paraId="37AD6E0C" w14:textId="77777777" w:rsidR="006F7166" w:rsidRDefault="00DB3FA7">
      <w:pPr>
        <w:pStyle w:val="NormalWeb"/>
        <w:spacing w:before="0" w:after="0" w:line="276" w:lineRule="auto"/>
        <w:rPr>
          <w:rFonts w:ascii="Arial" w:hAnsi="Arial"/>
          <w:sz w:val="22"/>
          <w:lang w:val="en"/>
        </w:rPr>
      </w:pPr>
      <w:r>
        <w:rPr>
          <w:rFonts w:ascii="Arial" w:hAnsi="Arial"/>
          <w:sz w:val="22"/>
        </w:rPr>
        <w:t>The following are recognised forms of abuse that affect only adults:</w:t>
      </w:r>
    </w:p>
    <w:p w14:paraId="1363A185" w14:textId="77777777" w:rsidR="006F7166" w:rsidRDefault="006F7166">
      <w:pPr>
        <w:pStyle w:val="Heading5"/>
        <w:spacing w:before="0" w:after="0"/>
        <w:ind w:left="720"/>
        <w:rPr>
          <w:color w:val="auto"/>
        </w:rPr>
      </w:pPr>
    </w:p>
    <w:p w14:paraId="70383904" w14:textId="77777777" w:rsidR="006F7166" w:rsidRDefault="00DB3FA7">
      <w:pPr>
        <w:pStyle w:val="Heading5"/>
        <w:spacing w:before="0" w:after="0"/>
        <w:ind w:left="720"/>
        <w:rPr>
          <w:color w:val="auto"/>
        </w:rPr>
      </w:pPr>
      <w:r>
        <w:rPr>
          <w:color w:val="auto"/>
        </w:rPr>
        <w:t xml:space="preserve">Financial or Material Abuse: abuse – 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37F03628" w14:textId="77777777" w:rsidR="006F7166" w:rsidRDefault="006F7166">
      <w:pPr>
        <w:pStyle w:val="NormalWeb"/>
        <w:spacing w:before="0" w:after="0" w:line="276" w:lineRule="auto"/>
        <w:ind w:left="720"/>
        <w:rPr>
          <w:rFonts w:ascii="Arial" w:hAnsi="Arial"/>
          <w:sz w:val="22"/>
          <w:lang w:val="en"/>
        </w:rPr>
      </w:pPr>
    </w:p>
    <w:p w14:paraId="155A5EFF" w14:textId="77777777" w:rsidR="006F7166" w:rsidRDefault="00DB3FA7">
      <w:pPr>
        <w:ind w:left="720"/>
        <w:rPr>
          <w:color w:val="auto"/>
        </w:rPr>
      </w:pPr>
      <w:r>
        <w:rPr>
          <w:color w:val="auto"/>
        </w:rPr>
        <w:t>Discriminatory Abuse</w:t>
      </w:r>
      <w:r>
        <w:rPr>
          <w:b/>
          <w:color w:val="auto"/>
        </w:rPr>
        <w:t>:</w:t>
      </w:r>
      <w:r>
        <w:rPr>
          <w:color w:val="auto"/>
        </w:rPr>
        <w:t xml:space="preserve"> including forms of harassment, slurs or similar treatment; because of race, gender and gender identity, age, disability, sexual orientation or religion.</w:t>
      </w:r>
    </w:p>
    <w:p w14:paraId="46FB1488" w14:textId="77777777" w:rsidR="006F7166" w:rsidRDefault="006F7166">
      <w:pPr>
        <w:ind w:left="720"/>
        <w:rPr>
          <w:color w:val="auto"/>
        </w:rPr>
      </w:pPr>
    </w:p>
    <w:p w14:paraId="294F9294" w14:textId="77777777" w:rsidR="006F7166" w:rsidRDefault="00DB3FA7">
      <w:pPr>
        <w:pStyle w:val="Heading5"/>
        <w:spacing w:before="0" w:after="0"/>
        <w:ind w:left="720"/>
        <w:rPr>
          <w:b/>
          <w:color w:val="auto"/>
        </w:rPr>
      </w:pPr>
      <w:r>
        <w:rPr>
          <w:color w:val="auto"/>
        </w:rPr>
        <w:lastRenderedPageBreak/>
        <w:t>Organisational or Institutional Abuse: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6CB70431" w14:textId="77777777" w:rsidR="006F7166" w:rsidRDefault="006F7166">
      <w:pPr>
        <w:pStyle w:val="Heading5"/>
        <w:spacing w:before="0" w:after="0"/>
        <w:ind w:left="720"/>
        <w:rPr>
          <w:b/>
          <w:color w:val="auto"/>
        </w:rPr>
      </w:pPr>
    </w:p>
    <w:p w14:paraId="4428B021" w14:textId="77777777" w:rsidR="006F7166" w:rsidRDefault="00DB3FA7">
      <w:pPr>
        <w:pStyle w:val="Heading5"/>
        <w:spacing w:before="0" w:after="0"/>
        <w:ind w:left="720"/>
        <w:rPr>
          <w:b/>
          <w:color w:val="auto"/>
        </w:rPr>
      </w:pPr>
      <w:r>
        <w:rPr>
          <w:color w:val="auto"/>
        </w:rPr>
        <w:t xml:space="preserve">Self-neglect: this covers a wide range of behaviour neglecting to care for one’s personal hygiene, health or surroundings and includes behaviour such as hoarding. </w:t>
      </w:r>
    </w:p>
    <w:p w14:paraId="67F9C438" w14:textId="77777777" w:rsidR="006F7166" w:rsidRDefault="006F7166">
      <w:pPr>
        <w:pStyle w:val="Heading5"/>
        <w:spacing w:before="0" w:after="0"/>
        <w:ind w:left="720"/>
        <w:rPr>
          <w:color w:val="auto"/>
        </w:rPr>
      </w:pPr>
    </w:p>
    <w:p w14:paraId="73E97733" w14:textId="77777777" w:rsidR="006F7166" w:rsidRDefault="006F7166">
      <w:pPr>
        <w:pStyle w:val="Heading5"/>
        <w:spacing w:before="0" w:after="0"/>
        <w:ind w:left="720"/>
        <w:rPr>
          <w:color w:val="auto"/>
        </w:rPr>
      </w:pPr>
    </w:p>
    <w:p w14:paraId="5E8EDE14" w14:textId="77777777" w:rsidR="006F7166" w:rsidRDefault="00DB3FA7">
      <w:pPr>
        <w:pStyle w:val="NormalWeb"/>
        <w:spacing w:before="0" w:after="0" w:line="276" w:lineRule="auto"/>
        <w:rPr>
          <w:rFonts w:ascii="Arial" w:hAnsi="Arial"/>
          <w:b/>
          <w:bCs/>
          <w:sz w:val="22"/>
          <w:lang w:val="en"/>
        </w:rPr>
      </w:pPr>
      <w:r>
        <w:rPr>
          <w:rFonts w:ascii="Arial" w:hAnsi="Arial"/>
          <w:b/>
          <w:bCs/>
          <w:sz w:val="22"/>
        </w:rPr>
        <w:t>Recognising Abuse</w:t>
      </w:r>
    </w:p>
    <w:p w14:paraId="29EA9D87" w14:textId="77777777" w:rsidR="006F7166" w:rsidRDefault="006F7166">
      <w:pPr>
        <w:rPr>
          <w:color w:val="auto"/>
        </w:rPr>
      </w:pPr>
    </w:p>
    <w:p w14:paraId="28AA0BFA" w14:textId="77777777" w:rsidR="006F7166" w:rsidRDefault="00DB3FA7">
      <w:pPr>
        <w:rPr>
          <w:color w:val="auto"/>
        </w:rPr>
      </w:pPr>
      <w:r>
        <w:rPr>
          <w:color w:val="auto"/>
        </w:rPr>
        <w:t>Incidents of abuse may be one-off or multiple, and affect one person or more.  Patterns of abuse vary and include:</w:t>
      </w:r>
    </w:p>
    <w:p w14:paraId="1E9A37AF" w14:textId="77777777" w:rsidR="006F7166" w:rsidRDefault="00DB3FA7">
      <w:pPr>
        <w:pStyle w:val="ListParagraph"/>
        <w:numPr>
          <w:ilvl w:val="0"/>
          <w:numId w:val="10"/>
        </w:numPr>
        <w:rPr>
          <w:color w:val="auto"/>
        </w:rPr>
      </w:pPr>
      <w:r>
        <w:rPr>
          <w:color w:val="auto"/>
        </w:rPr>
        <w:t>serial abusing in which the perpetrator seeks out and ‘grooms’ individuals. Sexual abuse sometimes falls into this pattern as do some forms of financial abuse;</w:t>
      </w:r>
    </w:p>
    <w:p w14:paraId="1D570174" w14:textId="77777777" w:rsidR="006F7166" w:rsidRDefault="00DB3FA7">
      <w:pPr>
        <w:pStyle w:val="ListParagraph"/>
        <w:numPr>
          <w:ilvl w:val="0"/>
          <w:numId w:val="10"/>
        </w:numPr>
        <w:rPr>
          <w:color w:val="auto"/>
        </w:rPr>
      </w:pPr>
      <w:r>
        <w:rPr>
          <w:color w:val="auto"/>
        </w:rPr>
        <w:t>long-term abuse in the context of an ongoing family relationship such as domestic</w:t>
      </w:r>
    </w:p>
    <w:p w14:paraId="2DDF808E" w14:textId="77777777" w:rsidR="006F7166" w:rsidRDefault="00DB3FA7">
      <w:pPr>
        <w:pStyle w:val="ListParagraph"/>
        <w:rPr>
          <w:color w:val="auto"/>
        </w:rPr>
      </w:pPr>
      <w:r>
        <w:rPr>
          <w:color w:val="auto"/>
        </w:rPr>
        <w:t>violence between spouses or generations or persistent psychological abuse; or</w:t>
      </w:r>
    </w:p>
    <w:p w14:paraId="72539103" w14:textId="77777777" w:rsidR="006F7166" w:rsidRDefault="00DB3FA7">
      <w:pPr>
        <w:pStyle w:val="ListParagraph"/>
        <w:numPr>
          <w:ilvl w:val="0"/>
          <w:numId w:val="10"/>
        </w:numPr>
        <w:rPr>
          <w:color w:val="auto"/>
        </w:rPr>
      </w:pPr>
      <w:r>
        <w:rPr>
          <w:color w:val="auto"/>
        </w:rPr>
        <w:t>opportunistic abuse such as theft occurring because money or jewellery has been left lying around.</w:t>
      </w:r>
    </w:p>
    <w:p w14:paraId="0AEF2098" w14:textId="77777777" w:rsidR="006F7166" w:rsidRDefault="006F7166">
      <w:pPr>
        <w:pStyle w:val="ListParagraph"/>
        <w:rPr>
          <w:color w:val="auto"/>
        </w:rPr>
      </w:pPr>
    </w:p>
    <w:p w14:paraId="12C22E7B" w14:textId="77777777" w:rsidR="006F7166" w:rsidRDefault="00DB3FA7">
      <w:pPr>
        <w:rPr>
          <w:color w:val="auto"/>
        </w:rPr>
      </w:pPr>
      <w:r>
        <w:rPr>
          <w:color w:val="auto"/>
        </w:rPr>
        <w:t>It is important to recognise abuse and the following should be looked out for:</w:t>
      </w:r>
    </w:p>
    <w:p w14:paraId="3E7DCE32" w14:textId="77777777" w:rsidR="006F7166" w:rsidRDefault="006F7166">
      <w:pPr>
        <w:pStyle w:val="Heading5"/>
        <w:spacing w:before="0" w:after="0"/>
        <w:rPr>
          <w:color w:val="auto"/>
        </w:rPr>
      </w:pPr>
    </w:p>
    <w:p w14:paraId="7B5C1FC3" w14:textId="77777777" w:rsidR="006F7166" w:rsidRDefault="00DB3FA7">
      <w:pPr>
        <w:pStyle w:val="Heading5"/>
        <w:spacing w:before="0" w:after="0"/>
        <w:rPr>
          <w:color w:val="auto"/>
        </w:rPr>
      </w:pPr>
      <w:r>
        <w:rPr>
          <w:color w:val="auto"/>
        </w:rPr>
        <w:t>1.  Signs of possible Physical Abuse</w:t>
      </w:r>
    </w:p>
    <w:p w14:paraId="183B869C" w14:textId="77777777" w:rsidR="006F7166" w:rsidRDefault="00DB3FA7">
      <w:pPr>
        <w:numPr>
          <w:ilvl w:val="0"/>
          <w:numId w:val="5"/>
        </w:numPr>
        <w:rPr>
          <w:color w:val="auto"/>
        </w:rPr>
      </w:pPr>
      <w:r>
        <w:rPr>
          <w:color w:val="auto"/>
        </w:rPr>
        <w:t xml:space="preserve">any injuries not consistent with the explanation given to them; </w:t>
      </w:r>
    </w:p>
    <w:p w14:paraId="3EA7D16F" w14:textId="77777777" w:rsidR="006F7166" w:rsidRDefault="00DB3FA7">
      <w:pPr>
        <w:numPr>
          <w:ilvl w:val="0"/>
          <w:numId w:val="5"/>
        </w:numPr>
        <w:rPr>
          <w:color w:val="auto"/>
        </w:rPr>
      </w:pPr>
      <w:r>
        <w:rPr>
          <w:color w:val="auto"/>
        </w:rPr>
        <w:t xml:space="preserve">injuries which occur to the body in places which are not normally exposed to falls, rough games etc; </w:t>
      </w:r>
    </w:p>
    <w:p w14:paraId="471A6318" w14:textId="77777777" w:rsidR="006F7166" w:rsidRDefault="00DB3FA7">
      <w:pPr>
        <w:numPr>
          <w:ilvl w:val="0"/>
          <w:numId w:val="5"/>
        </w:numPr>
        <w:rPr>
          <w:color w:val="auto"/>
        </w:rPr>
      </w:pPr>
      <w:r>
        <w:rPr>
          <w:color w:val="auto"/>
        </w:rPr>
        <w:t xml:space="preserve">injuries which have not received medical attention; </w:t>
      </w:r>
    </w:p>
    <w:p w14:paraId="5A586C67" w14:textId="77777777" w:rsidR="006F7166" w:rsidRDefault="00DB3FA7">
      <w:pPr>
        <w:numPr>
          <w:ilvl w:val="0"/>
          <w:numId w:val="5"/>
        </w:numPr>
        <w:rPr>
          <w:color w:val="auto"/>
        </w:rPr>
      </w:pPr>
      <w:r>
        <w:rPr>
          <w:color w:val="auto"/>
        </w:rPr>
        <w:t>reluctance to change for, or participate in, games or swimming;</w:t>
      </w:r>
    </w:p>
    <w:p w14:paraId="0D439FB6" w14:textId="77777777" w:rsidR="006F7166" w:rsidRDefault="00DB3FA7">
      <w:pPr>
        <w:numPr>
          <w:ilvl w:val="0"/>
          <w:numId w:val="5"/>
        </w:numPr>
        <w:rPr>
          <w:color w:val="auto"/>
        </w:rPr>
      </w:pPr>
      <w:r>
        <w:rPr>
          <w:color w:val="auto"/>
        </w:rPr>
        <w:t xml:space="preserve">repeated urinary infections or unexplained tummy pains; </w:t>
      </w:r>
    </w:p>
    <w:p w14:paraId="7652B8FE" w14:textId="77777777" w:rsidR="006F7166" w:rsidRDefault="00DB3FA7">
      <w:pPr>
        <w:numPr>
          <w:ilvl w:val="0"/>
          <w:numId w:val="5"/>
        </w:numPr>
        <w:rPr>
          <w:color w:val="auto"/>
        </w:rPr>
      </w:pPr>
      <w:r>
        <w:rPr>
          <w:color w:val="auto"/>
        </w:rPr>
        <w:t xml:space="preserve">bruises, bites, burns, fractures etc. which do not have an accidental explanation; </w:t>
      </w:r>
    </w:p>
    <w:p w14:paraId="5E8FEB19" w14:textId="77777777" w:rsidR="006F7166" w:rsidRDefault="00DB3FA7">
      <w:pPr>
        <w:numPr>
          <w:ilvl w:val="0"/>
          <w:numId w:val="5"/>
        </w:numPr>
        <w:rPr>
          <w:color w:val="auto"/>
        </w:rPr>
      </w:pPr>
      <w:r>
        <w:rPr>
          <w:color w:val="auto"/>
        </w:rPr>
        <w:t>cuts/scratches/substance abuse.</w:t>
      </w:r>
    </w:p>
    <w:p w14:paraId="523AFD9D" w14:textId="77777777" w:rsidR="006F7166" w:rsidRDefault="006F7166">
      <w:pPr>
        <w:rPr>
          <w:color w:val="auto"/>
        </w:rPr>
      </w:pPr>
    </w:p>
    <w:p w14:paraId="3C206094" w14:textId="77777777" w:rsidR="006F7166" w:rsidRDefault="00DB3FA7">
      <w:pPr>
        <w:pStyle w:val="Heading5"/>
        <w:spacing w:before="0" w:after="0"/>
        <w:rPr>
          <w:color w:val="auto"/>
        </w:rPr>
      </w:pPr>
      <w:r>
        <w:rPr>
          <w:color w:val="auto"/>
        </w:rPr>
        <w:t>2. Indicators of possible Sexual Abuse</w:t>
      </w:r>
    </w:p>
    <w:p w14:paraId="4125E0DD" w14:textId="77777777" w:rsidR="006F7166" w:rsidRDefault="00DB3FA7">
      <w:pPr>
        <w:numPr>
          <w:ilvl w:val="0"/>
          <w:numId w:val="6"/>
        </w:numPr>
        <w:rPr>
          <w:color w:val="auto"/>
        </w:rPr>
      </w:pPr>
      <w:r>
        <w:rPr>
          <w:color w:val="auto"/>
        </w:rPr>
        <w:t xml:space="preserve">any allegations made by a person concerning sexual abuse; </w:t>
      </w:r>
    </w:p>
    <w:p w14:paraId="6530429E" w14:textId="77777777" w:rsidR="006F7166" w:rsidRDefault="00DB3FA7">
      <w:pPr>
        <w:numPr>
          <w:ilvl w:val="0"/>
          <w:numId w:val="6"/>
        </w:numPr>
        <w:rPr>
          <w:color w:val="auto"/>
        </w:rPr>
      </w:pPr>
      <w:r>
        <w:rPr>
          <w:color w:val="auto"/>
        </w:rPr>
        <w:t xml:space="preserve">in the case of a child: </w:t>
      </w:r>
    </w:p>
    <w:p w14:paraId="07789A6B" w14:textId="77777777" w:rsidR="006F7166" w:rsidRDefault="00DB3FA7">
      <w:pPr>
        <w:numPr>
          <w:ilvl w:val="1"/>
          <w:numId w:val="6"/>
        </w:numPr>
        <w:rPr>
          <w:color w:val="auto"/>
        </w:rPr>
      </w:pPr>
      <w:r>
        <w:rPr>
          <w:color w:val="auto"/>
        </w:rPr>
        <w:t xml:space="preserve">excessive preoccupation with sexual matters and detailed knowledge of adult sexual behaviour, or who regularly engages in age-inappropriate sexual play; </w:t>
      </w:r>
    </w:p>
    <w:p w14:paraId="38C8A761" w14:textId="77777777" w:rsidR="006F7166" w:rsidRDefault="00DB3FA7">
      <w:pPr>
        <w:numPr>
          <w:ilvl w:val="1"/>
          <w:numId w:val="6"/>
        </w:numPr>
        <w:rPr>
          <w:color w:val="auto"/>
        </w:rPr>
      </w:pPr>
      <w:r>
        <w:rPr>
          <w:color w:val="auto"/>
        </w:rPr>
        <w:t xml:space="preserve">sexual activity through words, play or drawing; </w:t>
      </w:r>
    </w:p>
    <w:p w14:paraId="04CA0A09" w14:textId="77777777" w:rsidR="006F7166" w:rsidRDefault="00DB3FA7">
      <w:pPr>
        <w:numPr>
          <w:ilvl w:val="1"/>
          <w:numId w:val="6"/>
        </w:numPr>
        <w:rPr>
          <w:color w:val="auto"/>
        </w:rPr>
      </w:pPr>
      <w:r>
        <w:rPr>
          <w:color w:val="auto"/>
        </w:rPr>
        <w:t xml:space="preserve">child who is sexually provocative or seductive with adults; </w:t>
      </w:r>
    </w:p>
    <w:p w14:paraId="55EFADEC" w14:textId="77777777" w:rsidR="006F7166" w:rsidRDefault="00DB3FA7">
      <w:pPr>
        <w:numPr>
          <w:ilvl w:val="1"/>
          <w:numId w:val="6"/>
        </w:numPr>
        <w:rPr>
          <w:color w:val="auto"/>
        </w:rPr>
      </w:pPr>
      <w:r>
        <w:rPr>
          <w:color w:val="auto"/>
        </w:rPr>
        <w:t xml:space="preserve">inappropriate bed-sharing arrangements at home; </w:t>
      </w:r>
    </w:p>
    <w:p w14:paraId="66F0087B" w14:textId="77777777" w:rsidR="006F7166" w:rsidRDefault="00DB3FA7">
      <w:pPr>
        <w:numPr>
          <w:ilvl w:val="1"/>
          <w:numId w:val="6"/>
        </w:numPr>
        <w:rPr>
          <w:color w:val="auto"/>
        </w:rPr>
      </w:pPr>
      <w:r>
        <w:rPr>
          <w:color w:val="auto"/>
        </w:rPr>
        <w:lastRenderedPageBreak/>
        <w:t>severe sleep disturbance, with fears, phobias, vivid dreams or nightmares, sometimes with overt or veiled sexual connotations.</w:t>
      </w:r>
    </w:p>
    <w:p w14:paraId="2182370B" w14:textId="77777777" w:rsidR="006F7166" w:rsidRDefault="006F7166">
      <w:pPr>
        <w:pStyle w:val="Heading5"/>
        <w:spacing w:before="0" w:after="0"/>
        <w:rPr>
          <w:b/>
          <w:color w:val="auto"/>
        </w:rPr>
      </w:pPr>
    </w:p>
    <w:p w14:paraId="1B866B1A" w14:textId="77777777" w:rsidR="006F7166" w:rsidRDefault="00DB3FA7">
      <w:pPr>
        <w:pStyle w:val="Heading5"/>
        <w:spacing w:before="0" w:after="0"/>
        <w:rPr>
          <w:color w:val="auto"/>
        </w:rPr>
      </w:pPr>
      <w:r>
        <w:rPr>
          <w:color w:val="auto"/>
        </w:rPr>
        <w:t>3.  Signs of Abuse by Neglect</w:t>
      </w:r>
    </w:p>
    <w:p w14:paraId="0EC79093" w14:textId="77777777" w:rsidR="006F7166" w:rsidRDefault="00DB3FA7">
      <w:pPr>
        <w:numPr>
          <w:ilvl w:val="0"/>
          <w:numId w:val="7"/>
        </w:numPr>
        <w:rPr>
          <w:color w:val="auto"/>
        </w:rPr>
      </w:pPr>
      <w:r>
        <w:rPr>
          <w:color w:val="auto"/>
        </w:rPr>
        <w:t xml:space="preserve">under nourishment, failure to grow; </w:t>
      </w:r>
    </w:p>
    <w:p w14:paraId="19021FDC" w14:textId="77777777" w:rsidR="006F7166" w:rsidRDefault="00DB3FA7">
      <w:pPr>
        <w:numPr>
          <w:ilvl w:val="0"/>
          <w:numId w:val="7"/>
        </w:numPr>
        <w:rPr>
          <w:color w:val="auto"/>
        </w:rPr>
      </w:pPr>
      <w:r>
        <w:rPr>
          <w:color w:val="auto"/>
        </w:rPr>
        <w:t xml:space="preserve">constant hunger, stealing or gorging food; </w:t>
      </w:r>
    </w:p>
    <w:p w14:paraId="018D0734" w14:textId="77777777" w:rsidR="006F7166" w:rsidRDefault="00DB3FA7">
      <w:pPr>
        <w:numPr>
          <w:ilvl w:val="0"/>
          <w:numId w:val="7"/>
        </w:numPr>
        <w:rPr>
          <w:color w:val="auto"/>
        </w:rPr>
      </w:pPr>
      <w:r>
        <w:rPr>
          <w:color w:val="auto"/>
        </w:rPr>
        <w:t xml:space="preserve">untreated illnesses; </w:t>
      </w:r>
    </w:p>
    <w:p w14:paraId="1A5A05EC" w14:textId="77777777" w:rsidR="006F7166" w:rsidRDefault="00DB3FA7">
      <w:pPr>
        <w:numPr>
          <w:ilvl w:val="0"/>
          <w:numId w:val="7"/>
        </w:numPr>
        <w:rPr>
          <w:color w:val="auto"/>
        </w:rPr>
      </w:pPr>
      <w:r>
        <w:rPr>
          <w:color w:val="auto"/>
        </w:rPr>
        <w:t>inadequate care.</w:t>
      </w:r>
    </w:p>
    <w:p w14:paraId="0AA1F2C6" w14:textId="77777777" w:rsidR="006F7166" w:rsidRDefault="00DB3FA7">
      <w:pPr>
        <w:ind w:left="360"/>
        <w:rPr>
          <w:color w:val="auto"/>
        </w:rPr>
      </w:pPr>
      <w:r>
        <w:rPr>
          <w:color w:val="auto"/>
        </w:rPr>
        <w:t xml:space="preserve"> </w:t>
      </w:r>
    </w:p>
    <w:p w14:paraId="01EB5237" w14:textId="77777777" w:rsidR="006F7166" w:rsidRDefault="00DB3FA7">
      <w:pPr>
        <w:pStyle w:val="Heading5"/>
        <w:spacing w:before="0" w:after="0"/>
        <w:rPr>
          <w:color w:val="auto"/>
        </w:rPr>
      </w:pPr>
      <w:r>
        <w:rPr>
          <w:color w:val="auto"/>
        </w:rPr>
        <w:t>4.  Signs of possible Psychological Abuse</w:t>
      </w:r>
    </w:p>
    <w:p w14:paraId="3BBDAD42" w14:textId="77777777" w:rsidR="006F7166" w:rsidRDefault="00DB3FA7">
      <w:pPr>
        <w:numPr>
          <w:ilvl w:val="0"/>
          <w:numId w:val="8"/>
        </w:numPr>
        <w:rPr>
          <w:color w:val="auto"/>
        </w:rPr>
      </w:pPr>
      <w:r>
        <w:rPr>
          <w:color w:val="auto"/>
        </w:rPr>
        <w:t xml:space="preserve">changes or regression in mood or behaviour, particularly where a child withdraws or becomes clinging; also depression/aggression, extreme anxiety; </w:t>
      </w:r>
    </w:p>
    <w:p w14:paraId="76AC91AF" w14:textId="77777777" w:rsidR="006F7166" w:rsidRDefault="00DB3FA7">
      <w:pPr>
        <w:numPr>
          <w:ilvl w:val="0"/>
          <w:numId w:val="8"/>
        </w:numPr>
        <w:rPr>
          <w:color w:val="auto"/>
        </w:rPr>
      </w:pPr>
      <w:r>
        <w:rPr>
          <w:color w:val="auto"/>
        </w:rPr>
        <w:t xml:space="preserve">nervousness, frozen watchfulness; </w:t>
      </w:r>
    </w:p>
    <w:p w14:paraId="555DD16C" w14:textId="77777777" w:rsidR="006F7166" w:rsidRDefault="00DB3FA7">
      <w:pPr>
        <w:numPr>
          <w:ilvl w:val="0"/>
          <w:numId w:val="8"/>
        </w:numPr>
        <w:rPr>
          <w:color w:val="auto"/>
        </w:rPr>
      </w:pPr>
      <w:r>
        <w:rPr>
          <w:color w:val="auto"/>
        </w:rPr>
        <w:t xml:space="preserve">obsessions or phobias; </w:t>
      </w:r>
    </w:p>
    <w:p w14:paraId="0B37F6FA" w14:textId="77777777" w:rsidR="006F7166" w:rsidRDefault="00DB3FA7">
      <w:pPr>
        <w:numPr>
          <w:ilvl w:val="0"/>
          <w:numId w:val="8"/>
        </w:numPr>
        <w:rPr>
          <w:color w:val="auto"/>
        </w:rPr>
      </w:pPr>
      <w:r>
        <w:rPr>
          <w:color w:val="auto"/>
        </w:rPr>
        <w:t xml:space="preserve">sudden under-achievement or lack of concentration; </w:t>
      </w:r>
    </w:p>
    <w:p w14:paraId="7D0A8705" w14:textId="77777777" w:rsidR="006F7166" w:rsidRDefault="00DB3FA7">
      <w:pPr>
        <w:numPr>
          <w:ilvl w:val="0"/>
          <w:numId w:val="8"/>
        </w:numPr>
        <w:rPr>
          <w:color w:val="auto"/>
        </w:rPr>
      </w:pPr>
      <w:r>
        <w:rPr>
          <w:color w:val="auto"/>
        </w:rPr>
        <w:t xml:space="preserve">inappropriate relationships with peers and/or adults; </w:t>
      </w:r>
    </w:p>
    <w:p w14:paraId="17EABF7C" w14:textId="77777777" w:rsidR="006F7166" w:rsidRDefault="00DB3FA7">
      <w:pPr>
        <w:numPr>
          <w:ilvl w:val="0"/>
          <w:numId w:val="8"/>
        </w:numPr>
        <w:rPr>
          <w:color w:val="auto"/>
        </w:rPr>
      </w:pPr>
      <w:r>
        <w:rPr>
          <w:color w:val="auto"/>
        </w:rPr>
        <w:t xml:space="preserve">attention-seeking behaviour; </w:t>
      </w:r>
    </w:p>
    <w:p w14:paraId="23C0A47B" w14:textId="77777777" w:rsidR="006F7166" w:rsidRDefault="00DB3FA7">
      <w:pPr>
        <w:numPr>
          <w:ilvl w:val="0"/>
          <w:numId w:val="8"/>
        </w:numPr>
        <w:rPr>
          <w:color w:val="auto"/>
        </w:rPr>
      </w:pPr>
      <w:r>
        <w:rPr>
          <w:color w:val="auto"/>
        </w:rPr>
        <w:t xml:space="preserve">persistent tiredness; </w:t>
      </w:r>
    </w:p>
    <w:p w14:paraId="3072D182" w14:textId="77777777" w:rsidR="006F7166" w:rsidRDefault="00DB3FA7">
      <w:pPr>
        <w:numPr>
          <w:ilvl w:val="0"/>
          <w:numId w:val="8"/>
        </w:numPr>
        <w:rPr>
          <w:color w:val="auto"/>
        </w:rPr>
      </w:pPr>
      <w:r>
        <w:rPr>
          <w:color w:val="auto"/>
        </w:rPr>
        <w:t>running away/stealing/lying.</w:t>
      </w:r>
    </w:p>
    <w:p w14:paraId="3FDC455D" w14:textId="77777777" w:rsidR="006F7166" w:rsidRDefault="006F7166">
      <w:pPr>
        <w:rPr>
          <w:color w:val="auto"/>
        </w:rPr>
      </w:pPr>
    </w:p>
    <w:p w14:paraId="005DD229" w14:textId="77777777" w:rsidR="006F7166" w:rsidRDefault="00DB3FA7">
      <w:pPr>
        <w:pStyle w:val="Heading5"/>
        <w:spacing w:before="0" w:after="0"/>
        <w:rPr>
          <w:color w:val="auto"/>
        </w:rPr>
      </w:pPr>
      <w:r>
        <w:rPr>
          <w:color w:val="auto"/>
        </w:rPr>
        <w:t>5.  Signs of possible Financial or Material Abuse</w:t>
      </w:r>
    </w:p>
    <w:p w14:paraId="2A542C6A" w14:textId="77777777" w:rsidR="006F7166" w:rsidRDefault="00DB3FA7">
      <w:pPr>
        <w:numPr>
          <w:ilvl w:val="0"/>
          <w:numId w:val="11"/>
        </w:numPr>
        <w:rPr>
          <w:color w:val="auto"/>
        </w:rPr>
      </w:pPr>
      <w:r>
        <w:rPr>
          <w:color w:val="auto"/>
        </w:rPr>
        <w:t xml:space="preserve">change in living conditions; </w:t>
      </w:r>
    </w:p>
    <w:p w14:paraId="7A3896DA" w14:textId="77777777" w:rsidR="006F7166" w:rsidRDefault="00DB3FA7">
      <w:pPr>
        <w:numPr>
          <w:ilvl w:val="0"/>
          <w:numId w:val="11"/>
        </w:numPr>
        <w:rPr>
          <w:color w:val="auto"/>
        </w:rPr>
      </w:pPr>
      <w:r>
        <w:rPr>
          <w:color w:val="auto"/>
        </w:rPr>
        <w:t xml:space="preserve">lack of heating, clothing or food; </w:t>
      </w:r>
    </w:p>
    <w:p w14:paraId="68002832" w14:textId="77777777" w:rsidR="006F7166" w:rsidRDefault="00DB3FA7">
      <w:pPr>
        <w:numPr>
          <w:ilvl w:val="0"/>
          <w:numId w:val="11"/>
        </w:numPr>
        <w:rPr>
          <w:color w:val="auto"/>
        </w:rPr>
      </w:pPr>
      <w:r>
        <w:rPr>
          <w:color w:val="auto"/>
        </w:rPr>
        <w:t>inability to pay bills/unexplained shortage of money;</w:t>
      </w:r>
    </w:p>
    <w:p w14:paraId="691301DE" w14:textId="77777777" w:rsidR="006F7166" w:rsidRDefault="00DB3FA7">
      <w:pPr>
        <w:numPr>
          <w:ilvl w:val="0"/>
          <w:numId w:val="11"/>
        </w:numPr>
        <w:rPr>
          <w:color w:val="auto"/>
        </w:rPr>
      </w:pPr>
      <w:r>
        <w:rPr>
          <w:color w:val="auto"/>
        </w:rPr>
        <w:t xml:space="preserve">unexplained withdrawals from an account; </w:t>
      </w:r>
    </w:p>
    <w:p w14:paraId="193B9D95" w14:textId="77777777" w:rsidR="006F7166" w:rsidRDefault="00DB3FA7">
      <w:pPr>
        <w:numPr>
          <w:ilvl w:val="0"/>
          <w:numId w:val="11"/>
        </w:numPr>
        <w:rPr>
          <w:color w:val="auto"/>
        </w:rPr>
      </w:pPr>
      <w:r>
        <w:rPr>
          <w:color w:val="auto"/>
        </w:rPr>
        <w:t xml:space="preserve">unexplained loss/misplacement of financial documents; </w:t>
      </w:r>
    </w:p>
    <w:p w14:paraId="1F19213E" w14:textId="77777777" w:rsidR="006F7166" w:rsidRDefault="00DB3FA7">
      <w:pPr>
        <w:numPr>
          <w:ilvl w:val="0"/>
          <w:numId w:val="11"/>
        </w:numPr>
        <w:rPr>
          <w:b/>
          <w:color w:val="auto"/>
          <w:lang w:val="en-US"/>
        </w:rPr>
      </w:pPr>
      <w:r>
        <w:rPr>
          <w:color w:val="auto"/>
        </w:rPr>
        <w:t>the recent addition of authorised signers on a client or donor’s signature card.</w:t>
      </w:r>
    </w:p>
    <w:p w14:paraId="221CFF46" w14:textId="77777777" w:rsidR="006F7166" w:rsidRDefault="006F7166">
      <w:pPr>
        <w:rPr>
          <w:b/>
          <w:color w:val="auto"/>
        </w:rPr>
      </w:pPr>
    </w:p>
    <w:p w14:paraId="4D79D94D" w14:textId="77777777" w:rsidR="006F7166" w:rsidRDefault="006F7166">
      <w:pPr>
        <w:rPr>
          <w:color w:val="auto"/>
        </w:rPr>
      </w:pPr>
    </w:p>
    <w:sectPr w:rsidR="006F7166">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Zurich BT">
    <w:altName w:val="Arial"/>
    <w:panose1 w:val="020B0604020202020204"/>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523"/>
    <w:multiLevelType w:val="hybridMultilevel"/>
    <w:tmpl w:val="9D6A6C8E"/>
    <w:lvl w:ilvl="0" w:tplc="F73C4C2A">
      <w:start w:val="1"/>
      <w:numFmt w:val="lowerLetter"/>
      <w:lvlText w:val="%1."/>
      <w:lvlJc w:val="left"/>
      <w:pPr>
        <w:tabs>
          <w:tab w:val="num" w:pos="680"/>
        </w:tabs>
        <w:ind w:left="680" w:hanging="340"/>
      </w:pPr>
      <w:rPr>
        <w:sz w:val="24"/>
      </w:rPr>
    </w:lvl>
    <w:lvl w:ilvl="1" w:tplc="486CB0CC">
      <w:start w:val="1"/>
      <w:numFmt w:val="lowerLetter"/>
      <w:lvlText w:val="%2."/>
      <w:lvlJc w:val="left"/>
      <w:pPr>
        <w:tabs>
          <w:tab w:val="num" w:pos="1440"/>
        </w:tabs>
        <w:ind w:left="1440" w:hanging="360"/>
      </w:pPr>
    </w:lvl>
    <w:lvl w:ilvl="2" w:tplc="21FE81EE">
      <w:start w:val="1"/>
      <w:numFmt w:val="lowerRoman"/>
      <w:lvlText w:val="%3."/>
      <w:lvlJc w:val="right"/>
      <w:pPr>
        <w:tabs>
          <w:tab w:val="num" w:pos="2160"/>
        </w:tabs>
        <w:ind w:left="2160" w:hanging="180"/>
      </w:pPr>
    </w:lvl>
    <w:lvl w:ilvl="3" w:tplc="1BD8B5D6">
      <w:start w:val="1"/>
      <w:numFmt w:val="decimal"/>
      <w:lvlText w:val="%4."/>
      <w:lvlJc w:val="left"/>
      <w:pPr>
        <w:tabs>
          <w:tab w:val="num" w:pos="2880"/>
        </w:tabs>
        <w:ind w:left="2880" w:hanging="360"/>
      </w:pPr>
    </w:lvl>
    <w:lvl w:ilvl="4" w:tplc="64F475A8">
      <w:start w:val="1"/>
      <w:numFmt w:val="lowerLetter"/>
      <w:lvlText w:val="%5."/>
      <w:lvlJc w:val="left"/>
      <w:pPr>
        <w:tabs>
          <w:tab w:val="num" w:pos="3600"/>
        </w:tabs>
        <w:ind w:left="3600" w:hanging="360"/>
      </w:pPr>
    </w:lvl>
    <w:lvl w:ilvl="5" w:tplc="10DACA2C">
      <w:start w:val="1"/>
      <w:numFmt w:val="lowerRoman"/>
      <w:lvlText w:val="%6."/>
      <w:lvlJc w:val="right"/>
      <w:pPr>
        <w:tabs>
          <w:tab w:val="num" w:pos="4320"/>
        </w:tabs>
        <w:ind w:left="4320" w:hanging="180"/>
      </w:pPr>
    </w:lvl>
    <w:lvl w:ilvl="6" w:tplc="B2F6083E">
      <w:start w:val="1"/>
      <w:numFmt w:val="decimal"/>
      <w:lvlText w:val="%7."/>
      <w:lvlJc w:val="left"/>
      <w:pPr>
        <w:tabs>
          <w:tab w:val="num" w:pos="5040"/>
        </w:tabs>
        <w:ind w:left="5040" w:hanging="360"/>
      </w:pPr>
    </w:lvl>
    <w:lvl w:ilvl="7" w:tplc="6D04997C">
      <w:start w:val="1"/>
      <w:numFmt w:val="lowerLetter"/>
      <w:lvlText w:val="%8."/>
      <w:lvlJc w:val="left"/>
      <w:pPr>
        <w:tabs>
          <w:tab w:val="num" w:pos="5760"/>
        </w:tabs>
        <w:ind w:left="5760" w:hanging="360"/>
      </w:pPr>
    </w:lvl>
    <w:lvl w:ilvl="8" w:tplc="C040D3B8">
      <w:start w:val="1"/>
      <w:numFmt w:val="lowerRoman"/>
      <w:lvlText w:val="%9."/>
      <w:lvlJc w:val="right"/>
      <w:pPr>
        <w:tabs>
          <w:tab w:val="num" w:pos="6480"/>
        </w:tabs>
        <w:ind w:left="6480" w:hanging="180"/>
      </w:pPr>
    </w:lvl>
  </w:abstractNum>
  <w:abstractNum w:abstractNumId="1" w15:restartNumberingAfterBreak="0">
    <w:nsid w:val="2AC33ED5"/>
    <w:multiLevelType w:val="hybridMultilevel"/>
    <w:tmpl w:val="DC207136"/>
    <w:lvl w:ilvl="0" w:tplc="25F81F2C">
      <w:start w:val="1"/>
      <w:numFmt w:val="lowerLetter"/>
      <w:lvlText w:val="%1."/>
      <w:lvlJc w:val="left"/>
      <w:pPr>
        <w:tabs>
          <w:tab w:val="num" w:pos="680"/>
        </w:tabs>
        <w:ind w:left="680" w:hanging="340"/>
      </w:pPr>
      <w:rPr>
        <w:sz w:val="24"/>
      </w:rPr>
    </w:lvl>
    <w:lvl w:ilvl="1" w:tplc="340AB9BE">
      <w:start w:val="1"/>
      <w:numFmt w:val="lowerLetter"/>
      <w:lvlText w:val="%2."/>
      <w:lvlJc w:val="left"/>
      <w:pPr>
        <w:tabs>
          <w:tab w:val="num" w:pos="1440"/>
        </w:tabs>
        <w:ind w:left="1440" w:hanging="360"/>
      </w:pPr>
    </w:lvl>
    <w:lvl w:ilvl="2" w:tplc="3D7ADD1E">
      <w:start w:val="1"/>
      <w:numFmt w:val="lowerRoman"/>
      <w:lvlText w:val="%3."/>
      <w:lvlJc w:val="right"/>
      <w:pPr>
        <w:tabs>
          <w:tab w:val="num" w:pos="2160"/>
        </w:tabs>
        <w:ind w:left="2160" w:hanging="180"/>
      </w:pPr>
    </w:lvl>
    <w:lvl w:ilvl="3" w:tplc="6360CE9C">
      <w:start w:val="1"/>
      <w:numFmt w:val="decimal"/>
      <w:lvlText w:val="%4."/>
      <w:lvlJc w:val="left"/>
      <w:pPr>
        <w:tabs>
          <w:tab w:val="num" w:pos="2880"/>
        </w:tabs>
        <w:ind w:left="2880" w:hanging="360"/>
      </w:pPr>
    </w:lvl>
    <w:lvl w:ilvl="4" w:tplc="E4B81878">
      <w:start w:val="1"/>
      <w:numFmt w:val="lowerLetter"/>
      <w:lvlText w:val="%5."/>
      <w:lvlJc w:val="left"/>
      <w:pPr>
        <w:tabs>
          <w:tab w:val="num" w:pos="3600"/>
        </w:tabs>
        <w:ind w:left="3600" w:hanging="360"/>
      </w:pPr>
    </w:lvl>
    <w:lvl w:ilvl="5" w:tplc="FD1A61BA">
      <w:start w:val="1"/>
      <w:numFmt w:val="lowerRoman"/>
      <w:lvlText w:val="%6."/>
      <w:lvlJc w:val="right"/>
      <w:pPr>
        <w:tabs>
          <w:tab w:val="num" w:pos="4320"/>
        </w:tabs>
        <w:ind w:left="4320" w:hanging="180"/>
      </w:pPr>
    </w:lvl>
    <w:lvl w:ilvl="6" w:tplc="70EC85E6">
      <w:start w:val="1"/>
      <w:numFmt w:val="decimal"/>
      <w:lvlText w:val="%7."/>
      <w:lvlJc w:val="left"/>
      <w:pPr>
        <w:tabs>
          <w:tab w:val="num" w:pos="5040"/>
        </w:tabs>
        <w:ind w:left="5040" w:hanging="360"/>
      </w:pPr>
    </w:lvl>
    <w:lvl w:ilvl="7" w:tplc="50F63FDA">
      <w:start w:val="1"/>
      <w:numFmt w:val="lowerLetter"/>
      <w:lvlText w:val="%8."/>
      <w:lvlJc w:val="left"/>
      <w:pPr>
        <w:tabs>
          <w:tab w:val="num" w:pos="5760"/>
        </w:tabs>
        <w:ind w:left="5760" w:hanging="360"/>
      </w:pPr>
    </w:lvl>
    <w:lvl w:ilvl="8" w:tplc="E030531C">
      <w:start w:val="1"/>
      <w:numFmt w:val="lowerRoman"/>
      <w:lvlText w:val="%9."/>
      <w:lvlJc w:val="right"/>
      <w:pPr>
        <w:tabs>
          <w:tab w:val="num" w:pos="6480"/>
        </w:tabs>
        <w:ind w:left="6480" w:hanging="180"/>
      </w:pPr>
    </w:lvl>
  </w:abstractNum>
  <w:abstractNum w:abstractNumId="2" w15:restartNumberingAfterBreak="0">
    <w:nsid w:val="2E4A0D74"/>
    <w:multiLevelType w:val="hybridMultilevel"/>
    <w:tmpl w:val="99A4B3FA"/>
    <w:lvl w:ilvl="0" w:tplc="B006637E">
      <w:start w:val="1"/>
      <w:numFmt w:val="lowerLetter"/>
      <w:lvlText w:val="%1."/>
      <w:lvlJc w:val="left"/>
      <w:pPr>
        <w:tabs>
          <w:tab w:val="num" w:pos="680"/>
        </w:tabs>
        <w:ind w:left="680" w:hanging="340"/>
      </w:pPr>
      <w:rPr>
        <w:sz w:val="24"/>
      </w:rPr>
    </w:lvl>
    <w:lvl w:ilvl="1" w:tplc="422E6ECC">
      <w:start w:val="1"/>
      <w:numFmt w:val="lowerLetter"/>
      <w:lvlText w:val="%2."/>
      <w:lvlJc w:val="left"/>
      <w:pPr>
        <w:tabs>
          <w:tab w:val="num" w:pos="1440"/>
        </w:tabs>
        <w:ind w:left="1440" w:hanging="360"/>
      </w:pPr>
    </w:lvl>
    <w:lvl w:ilvl="2" w:tplc="EC6A390E">
      <w:start w:val="1"/>
      <w:numFmt w:val="lowerRoman"/>
      <w:lvlText w:val="%3."/>
      <w:lvlJc w:val="right"/>
      <w:pPr>
        <w:tabs>
          <w:tab w:val="num" w:pos="2160"/>
        </w:tabs>
        <w:ind w:left="2160" w:hanging="180"/>
      </w:pPr>
    </w:lvl>
    <w:lvl w:ilvl="3" w:tplc="5FA0FAE6">
      <w:start w:val="1"/>
      <w:numFmt w:val="decimal"/>
      <w:lvlText w:val="%4."/>
      <w:lvlJc w:val="left"/>
      <w:pPr>
        <w:tabs>
          <w:tab w:val="num" w:pos="2880"/>
        </w:tabs>
        <w:ind w:left="2880" w:hanging="360"/>
      </w:pPr>
    </w:lvl>
    <w:lvl w:ilvl="4" w:tplc="155A8102">
      <w:start w:val="1"/>
      <w:numFmt w:val="lowerLetter"/>
      <w:lvlText w:val="%5."/>
      <w:lvlJc w:val="left"/>
      <w:pPr>
        <w:tabs>
          <w:tab w:val="num" w:pos="3600"/>
        </w:tabs>
        <w:ind w:left="3600" w:hanging="360"/>
      </w:pPr>
    </w:lvl>
    <w:lvl w:ilvl="5" w:tplc="8A02D140">
      <w:start w:val="1"/>
      <w:numFmt w:val="lowerRoman"/>
      <w:lvlText w:val="%6."/>
      <w:lvlJc w:val="right"/>
      <w:pPr>
        <w:tabs>
          <w:tab w:val="num" w:pos="4320"/>
        </w:tabs>
        <w:ind w:left="4320" w:hanging="180"/>
      </w:pPr>
    </w:lvl>
    <w:lvl w:ilvl="6" w:tplc="FAC60C94">
      <w:start w:val="1"/>
      <w:numFmt w:val="decimal"/>
      <w:lvlText w:val="%7."/>
      <w:lvlJc w:val="left"/>
      <w:pPr>
        <w:tabs>
          <w:tab w:val="num" w:pos="5040"/>
        </w:tabs>
        <w:ind w:left="5040" w:hanging="360"/>
      </w:pPr>
    </w:lvl>
    <w:lvl w:ilvl="7" w:tplc="F4AE731C">
      <w:start w:val="1"/>
      <w:numFmt w:val="lowerLetter"/>
      <w:lvlText w:val="%8."/>
      <w:lvlJc w:val="left"/>
      <w:pPr>
        <w:tabs>
          <w:tab w:val="num" w:pos="5760"/>
        </w:tabs>
        <w:ind w:left="5760" w:hanging="360"/>
      </w:pPr>
    </w:lvl>
    <w:lvl w:ilvl="8" w:tplc="858CDA46">
      <w:start w:val="1"/>
      <w:numFmt w:val="lowerRoman"/>
      <w:lvlText w:val="%9."/>
      <w:lvlJc w:val="right"/>
      <w:pPr>
        <w:tabs>
          <w:tab w:val="num" w:pos="6480"/>
        </w:tabs>
        <w:ind w:left="6480" w:hanging="180"/>
      </w:pPr>
    </w:lvl>
  </w:abstractNum>
  <w:abstractNum w:abstractNumId="3" w15:restartNumberingAfterBreak="0">
    <w:nsid w:val="3D76168D"/>
    <w:multiLevelType w:val="hybridMultilevel"/>
    <w:tmpl w:val="9D6A6C8E"/>
    <w:lvl w:ilvl="0" w:tplc="BCB27D46">
      <w:start w:val="1"/>
      <w:numFmt w:val="lowerLetter"/>
      <w:lvlText w:val="%1."/>
      <w:lvlJc w:val="left"/>
      <w:pPr>
        <w:tabs>
          <w:tab w:val="num" w:pos="680"/>
        </w:tabs>
        <w:ind w:left="680" w:hanging="340"/>
      </w:pPr>
      <w:rPr>
        <w:sz w:val="24"/>
      </w:rPr>
    </w:lvl>
    <w:lvl w:ilvl="1" w:tplc="646270E6">
      <w:start w:val="1"/>
      <w:numFmt w:val="lowerLetter"/>
      <w:lvlText w:val="%2."/>
      <w:lvlJc w:val="left"/>
      <w:pPr>
        <w:tabs>
          <w:tab w:val="num" w:pos="1440"/>
        </w:tabs>
        <w:ind w:left="1440" w:hanging="360"/>
      </w:pPr>
    </w:lvl>
    <w:lvl w:ilvl="2" w:tplc="BEDEE21A">
      <w:start w:val="1"/>
      <w:numFmt w:val="lowerRoman"/>
      <w:lvlText w:val="%3."/>
      <w:lvlJc w:val="right"/>
      <w:pPr>
        <w:tabs>
          <w:tab w:val="num" w:pos="2160"/>
        </w:tabs>
        <w:ind w:left="2160" w:hanging="180"/>
      </w:pPr>
    </w:lvl>
    <w:lvl w:ilvl="3" w:tplc="A7B43408">
      <w:start w:val="1"/>
      <w:numFmt w:val="decimal"/>
      <w:lvlText w:val="%4."/>
      <w:lvlJc w:val="left"/>
      <w:pPr>
        <w:tabs>
          <w:tab w:val="num" w:pos="2880"/>
        </w:tabs>
        <w:ind w:left="2880" w:hanging="360"/>
      </w:pPr>
    </w:lvl>
    <w:lvl w:ilvl="4" w:tplc="8502317A">
      <w:start w:val="1"/>
      <w:numFmt w:val="lowerLetter"/>
      <w:lvlText w:val="%5."/>
      <w:lvlJc w:val="left"/>
      <w:pPr>
        <w:tabs>
          <w:tab w:val="num" w:pos="3600"/>
        </w:tabs>
        <w:ind w:left="3600" w:hanging="360"/>
      </w:pPr>
    </w:lvl>
    <w:lvl w:ilvl="5" w:tplc="80DE5354">
      <w:start w:val="1"/>
      <w:numFmt w:val="lowerRoman"/>
      <w:lvlText w:val="%6."/>
      <w:lvlJc w:val="right"/>
      <w:pPr>
        <w:tabs>
          <w:tab w:val="num" w:pos="4320"/>
        </w:tabs>
        <w:ind w:left="4320" w:hanging="180"/>
      </w:pPr>
    </w:lvl>
    <w:lvl w:ilvl="6" w:tplc="3D5C5804">
      <w:start w:val="1"/>
      <w:numFmt w:val="decimal"/>
      <w:lvlText w:val="%7."/>
      <w:lvlJc w:val="left"/>
      <w:pPr>
        <w:tabs>
          <w:tab w:val="num" w:pos="5040"/>
        </w:tabs>
        <w:ind w:left="5040" w:hanging="360"/>
      </w:pPr>
    </w:lvl>
    <w:lvl w:ilvl="7" w:tplc="EDE28758">
      <w:start w:val="1"/>
      <w:numFmt w:val="lowerLetter"/>
      <w:lvlText w:val="%8."/>
      <w:lvlJc w:val="left"/>
      <w:pPr>
        <w:tabs>
          <w:tab w:val="num" w:pos="5760"/>
        </w:tabs>
        <w:ind w:left="5760" w:hanging="360"/>
      </w:pPr>
    </w:lvl>
    <w:lvl w:ilvl="8" w:tplc="CF325766">
      <w:start w:val="1"/>
      <w:numFmt w:val="lowerRoman"/>
      <w:lvlText w:val="%9."/>
      <w:lvlJc w:val="right"/>
      <w:pPr>
        <w:tabs>
          <w:tab w:val="num" w:pos="6480"/>
        </w:tabs>
        <w:ind w:left="6480" w:hanging="180"/>
      </w:pPr>
    </w:lvl>
  </w:abstractNum>
  <w:abstractNum w:abstractNumId="4" w15:restartNumberingAfterBreak="0">
    <w:nsid w:val="3EE51062"/>
    <w:multiLevelType w:val="hybridMultilevel"/>
    <w:tmpl w:val="CB7E39FC"/>
    <w:lvl w:ilvl="0" w:tplc="B0B0D684">
      <w:start w:val="1"/>
      <w:numFmt w:val="bullet"/>
      <w:lvlText w:val=""/>
      <w:lvlJc w:val="left"/>
      <w:pPr>
        <w:ind w:left="720" w:hanging="360"/>
      </w:pPr>
      <w:rPr>
        <w:rFonts w:ascii="Symbol" w:hAnsi="Symbol"/>
      </w:rPr>
    </w:lvl>
    <w:lvl w:ilvl="1" w:tplc="2E3625A2">
      <w:start w:val="1"/>
      <w:numFmt w:val="bullet"/>
      <w:lvlText w:val="o"/>
      <w:lvlJc w:val="left"/>
      <w:pPr>
        <w:ind w:left="1440" w:hanging="360"/>
      </w:pPr>
      <w:rPr>
        <w:rFonts w:ascii="Courier New" w:hAnsi="Courier New"/>
      </w:rPr>
    </w:lvl>
    <w:lvl w:ilvl="2" w:tplc="1C7E6BC8">
      <w:start w:val="1"/>
      <w:numFmt w:val="bullet"/>
      <w:lvlText w:val=""/>
      <w:lvlJc w:val="left"/>
      <w:pPr>
        <w:ind w:left="2160" w:hanging="360"/>
      </w:pPr>
      <w:rPr>
        <w:rFonts w:ascii="Wingdings" w:hAnsi="Wingdings"/>
      </w:rPr>
    </w:lvl>
    <w:lvl w:ilvl="3" w:tplc="61125406">
      <w:start w:val="1"/>
      <w:numFmt w:val="bullet"/>
      <w:lvlText w:val=""/>
      <w:lvlJc w:val="left"/>
      <w:pPr>
        <w:ind w:left="2880" w:hanging="360"/>
      </w:pPr>
      <w:rPr>
        <w:rFonts w:ascii="Symbol" w:hAnsi="Symbol"/>
      </w:rPr>
    </w:lvl>
    <w:lvl w:ilvl="4" w:tplc="C14AE77E">
      <w:start w:val="1"/>
      <w:numFmt w:val="bullet"/>
      <w:lvlText w:val="o"/>
      <w:lvlJc w:val="left"/>
      <w:pPr>
        <w:ind w:left="3600" w:hanging="360"/>
      </w:pPr>
      <w:rPr>
        <w:rFonts w:ascii="Courier New" w:hAnsi="Courier New"/>
      </w:rPr>
    </w:lvl>
    <w:lvl w:ilvl="5" w:tplc="560EAA1A">
      <w:start w:val="1"/>
      <w:numFmt w:val="bullet"/>
      <w:lvlText w:val=""/>
      <w:lvlJc w:val="left"/>
      <w:pPr>
        <w:ind w:left="4320" w:hanging="360"/>
      </w:pPr>
      <w:rPr>
        <w:rFonts w:ascii="Wingdings" w:hAnsi="Wingdings"/>
      </w:rPr>
    </w:lvl>
    <w:lvl w:ilvl="6" w:tplc="109484E4">
      <w:start w:val="1"/>
      <w:numFmt w:val="bullet"/>
      <w:lvlText w:val=""/>
      <w:lvlJc w:val="left"/>
      <w:pPr>
        <w:ind w:left="5040" w:hanging="360"/>
      </w:pPr>
      <w:rPr>
        <w:rFonts w:ascii="Symbol" w:hAnsi="Symbol"/>
      </w:rPr>
    </w:lvl>
    <w:lvl w:ilvl="7" w:tplc="8BAE2EA2">
      <w:start w:val="1"/>
      <w:numFmt w:val="bullet"/>
      <w:lvlText w:val="o"/>
      <w:lvlJc w:val="left"/>
      <w:pPr>
        <w:ind w:left="5760" w:hanging="360"/>
      </w:pPr>
      <w:rPr>
        <w:rFonts w:ascii="Courier New" w:hAnsi="Courier New"/>
      </w:rPr>
    </w:lvl>
    <w:lvl w:ilvl="8" w:tplc="527A7214">
      <w:start w:val="1"/>
      <w:numFmt w:val="bullet"/>
      <w:lvlText w:val=""/>
      <w:lvlJc w:val="left"/>
      <w:pPr>
        <w:ind w:left="6480" w:hanging="360"/>
      </w:pPr>
      <w:rPr>
        <w:rFonts w:ascii="Wingdings" w:hAnsi="Wingdings"/>
      </w:rPr>
    </w:lvl>
  </w:abstractNum>
  <w:abstractNum w:abstractNumId="5" w15:restartNumberingAfterBreak="0">
    <w:nsid w:val="43C65137"/>
    <w:multiLevelType w:val="hybridMultilevel"/>
    <w:tmpl w:val="4CDCF886"/>
    <w:lvl w:ilvl="0" w:tplc="88E2BE6E">
      <w:numFmt w:val="bullet"/>
      <w:lvlText w:val="•"/>
      <w:lvlJc w:val="left"/>
      <w:pPr>
        <w:ind w:left="720" w:hanging="360"/>
      </w:pPr>
      <w:rPr>
        <w:rFonts w:ascii="Calibri" w:hAnsi="Calibri"/>
      </w:rPr>
    </w:lvl>
    <w:lvl w:ilvl="1" w:tplc="3AAE8486">
      <w:start w:val="1"/>
      <w:numFmt w:val="bullet"/>
      <w:lvlText w:val="o"/>
      <w:lvlJc w:val="left"/>
      <w:pPr>
        <w:ind w:left="1440" w:hanging="360"/>
      </w:pPr>
      <w:rPr>
        <w:rFonts w:ascii="Courier New" w:hAnsi="Courier New"/>
      </w:rPr>
    </w:lvl>
    <w:lvl w:ilvl="2" w:tplc="8D08F690">
      <w:start w:val="1"/>
      <w:numFmt w:val="bullet"/>
      <w:lvlText w:val=""/>
      <w:lvlJc w:val="left"/>
      <w:pPr>
        <w:ind w:left="2160" w:hanging="360"/>
      </w:pPr>
      <w:rPr>
        <w:rFonts w:ascii="Wingdings" w:hAnsi="Wingdings"/>
      </w:rPr>
    </w:lvl>
    <w:lvl w:ilvl="3" w:tplc="7FFEA84E">
      <w:start w:val="1"/>
      <w:numFmt w:val="bullet"/>
      <w:lvlText w:val=""/>
      <w:lvlJc w:val="left"/>
      <w:pPr>
        <w:ind w:left="2880" w:hanging="360"/>
      </w:pPr>
      <w:rPr>
        <w:rFonts w:ascii="Symbol" w:hAnsi="Symbol"/>
      </w:rPr>
    </w:lvl>
    <w:lvl w:ilvl="4" w:tplc="6492CFDE">
      <w:start w:val="1"/>
      <w:numFmt w:val="bullet"/>
      <w:lvlText w:val="o"/>
      <w:lvlJc w:val="left"/>
      <w:pPr>
        <w:ind w:left="3600" w:hanging="360"/>
      </w:pPr>
      <w:rPr>
        <w:rFonts w:ascii="Courier New" w:hAnsi="Courier New"/>
      </w:rPr>
    </w:lvl>
    <w:lvl w:ilvl="5" w:tplc="1CBCD042">
      <w:start w:val="1"/>
      <w:numFmt w:val="bullet"/>
      <w:lvlText w:val=""/>
      <w:lvlJc w:val="left"/>
      <w:pPr>
        <w:ind w:left="4320" w:hanging="360"/>
      </w:pPr>
      <w:rPr>
        <w:rFonts w:ascii="Wingdings" w:hAnsi="Wingdings"/>
      </w:rPr>
    </w:lvl>
    <w:lvl w:ilvl="6" w:tplc="0B426892">
      <w:start w:val="1"/>
      <w:numFmt w:val="bullet"/>
      <w:lvlText w:val=""/>
      <w:lvlJc w:val="left"/>
      <w:pPr>
        <w:ind w:left="5040" w:hanging="360"/>
      </w:pPr>
      <w:rPr>
        <w:rFonts w:ascii="Symbol" w:hAnsi="Symbol"/>
      </w:rPr>
    </w:lvl>
    <w:lvl w:ilvl="7" w:tplc="08DE6FEE">
      <w:start w:val="1"/>
      <w:numFmt w:val="bullet"/>
      <w:lvlText w:val="o"/>
      <w:lvlJc w:val="left"/>
      <w:pPr>
        <w:ind w:left="5760" w:hanging="360"/>
      </w:pPr>
      <w:rPr>
        <w:rFonts w:ascii="Courier New" w:hAnsi="Courier New"/>
      </w:rPr>
    </w:lvl>
    <w:lvl w:ilvl="8" w:tplc="78A23F86">
      <w:start w:val="1"/>
      <w:numFmt w:val="bullet"/>
      <w:lvlText w:val=""/>
      <w:lvlJc w:val="left"/>
      <w:pPr>
        <w:ind w:left="6480" w:hanging="360"/>
      </w:pPr>
      <w:rPr>
        <w:rFonts w:ascii="Wingdings" w:hAnsi="Wingdings"/>
      </w:rPr>
    </w:lvl>
  </w:abstractNum>
  <w:abstractNum w:abstractNumId="6" w15:restartNumberingAfterBreak="0">
    <w:nsid w:val="542A09C3"/>
    <w:multiLevelType w:val="multilevel"/>
    <w:tmpl w:val="EBF83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9F84596"/>
    <w:multiLevelType w:val="hybridMultilevel"/>
    <w:tmpl w:val="9C3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07C36"/>
    <w:multiLevelType w:val="multilevel"/>
    <w:tmpl w:val="13DE9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C3631FD"/>
    <w:multiLevelType w:val="hybridMultilevel"/>
    <w:tmpl w:val="0F4C4126"/>
    <w:lvl w:ilvl="0" w:tplc="CA886D24">
      <w:start w:val="1"/>
      <w:numFmt w:val="lowerLetter"/>
      <w:lvlText w:val="%1."/>
      <w:lvlJc w:val="left"/>
      <w:pPr>
        <w:tabs>
          <w:tab w:val="num" w:pos="680"/>
        </w:tabs>
        <w:ind w:left="680" w:hanging="340"/>
      </w:pPr>
      <w:rPr>
        <w:sz w:val="24"/>
      </w:rPr>
    </w:lvl>
    <w:lvl w:ilvl="1" w:tplc="9D2E6A52">
      <w:start w:val="1"/>
      <w:numFmt w:val="lowerLetter"/>
      <w:lvlText w:val="%2."/>
      <w:lvlJc w:val="left"/>
      <w:pPr>
        <w:tabs>
          <w:tab w:val="num" w:pos="1440"/>
        </w:tabs>
        <w:ind w:left="1440" w:hanging="360"/>
      </w:pPr>
    </w:lvl>
    <w:lvl w:ilvl="2" w:tplc="46E8A7DE">
      <w:start w:val="1"/>
      <w:numFmt w:val="lowerRoman"/>
      <w:lvlText w:val="%3."/>
      <w:lvlJc w:val="right"/>
      <w:pPr>
        <w:tabs>
          <w:tab w:val="num" w:pos="2160"/>
        </w:tabs>
        <w:ind w:left="2160" w:hanging="180"/>
      </w:pPr>
    </w:lvl>
    <w:lvl w:ilvl="3" w:tplc="5EAE9724">
      <w:start w:val="1"/>
      <w:numFmt w:val="decimal"/>
      <w:lvlText w:val="%4."/>
      <w:lvlJc w:val="left"/>
      <w:pPr>
        <w:tabs>
          <w:tab w:val="num" w:pos="2880"/>
        </w:tabs>
        <w:ind w:left="2880" w:hanging="360"/>
      </w:pPr>
    </w:lvl>
    <w:lvl w:ilvl="4" w:tplc="CD8E3B96">
      <w:start w:val="1"/>
      <w:numFmt w:val="lowerLetter"/>
      <w:lvlText w:val="%5."/>
      <w:lvlJc w:val="left"/>
      <w:pPr>
        <w:tabs>
          <w:tab w:val="num" w:pos="3600"/>
        </w:tabs>
        <w:ind w:left="3600" w:hanging="360"/>
      </w:pPr>
    </w:lvl>
    <w:lvl w:ilvl="5" w:tplc="6EB49150">
      <w:start w:val="1"/>
      <w:numFmt w:val="lowerRoman"/>
      <w:lvlText w:val="%6."/>
      <w:lvlJc w:val="right"/>
      <w:pPr>
        <w:tabs>
          <w:tab w:val="num" w:pos="4320"/>
        </w:tabs>
        <w:ind w:left="4320" w:hanging="180"/>
      </w:pPr>
    </w:lvl>
    <w:lvl w:ilvl="6" w:tplc="2D8EEC96">
      <w:start w:val="1"/>
      <w:numFmt w:val="decimal"/>
      <w:lvlText w:val="%7."/>
      <w:lvlJc w:val="left"/>
      <w:pPr>
        <w:tabs>
          <w:tab w:val="num" w:pos="5040"/>
        </w:tabs>
        <w:ind w:left="5040" w:hanging="360"/>
      </w:pPr>
    </w:lvl>
    <w:lvl w:ilvl="7" w:tplc="D8CCCD46">
      <w:start w:val="1"/>
      <w:numFmt w:val="lowerLetter"/>
      <w:lvlText w:val="%8."/>
      <w:lvlJc w:val="left"/>
      <w:pPr>
        <w:tabs>
          <w:tab w:val="num" w:pos="5760"/>
        </w:tabs>
        <w:ind w:left="5760" w:hanging="360"/>
      </w:pPr>
    </w:lvl>
    <w:lvl w:ilvl="8" w:tplc="851C1CEE">
      <w:start w:val="1"/>
      <w:numFmt w:val="lowerRoman"/>
      <w:lvlText w:val="%9."/>
      <w:lvlJc w:val="right"/>
      <w:pPr>
        <w:tabs>
          <w:tab w:val="num" w:pos="6480"/>
        </w:tabs>
        <w:ind w:left="6480" w:hanging="180"/>
      </w:pPr>
    </w:lvl>
  </w:abstractNum>
  <w:abstractNum w:abstractNumId="10" w15:restartNumberingAfterBreak="0">
    <w:nsid w:val="72922A9A"/>
    <w:multiLevelType w:val="hybridMultilevel"/>
    <w:tmpl w:val="6A304FBA"/>
    <w:lvl w:ilvl="0" w:tplc="78B06D9A">
      <w:start w:val="1"/>
      <w:numFmt w:val="bullet"/>
      <w:lvlText w:val=""/>
      <w:lvlJc w:val="left"/>
      <w:pPr>
        <w:ind w:left="1080" w:hanging="360"/>
      </w:pPr>
      <w:rPr>
        <w:rFonts w:ascii="Symbol" w:hAnsi="Symbol"/>
      </w:rPr>
    </w:lvl>
    <w:lvl w:ilvl="1" w:tplc="4C084C38">
      <w:start w:val="1"/>
      <w:numFmt w:val="bullet"/>
      <w:lvlText w:val="o"/>
      <w:lvlJc w:val="left"/>
      <w:pPr>
        <w:ind w:left="1800" w:hanging="360"/>
      </w:pPr>
      <w:rPr>
        <w:rFonts w:ascii="Courier New" w:hAnsi="Courier New"/>
      </w:rPr>
    </w:lvl>
    <w:lvl w:ilvl="2" w:tplc="63623EDE">
      <w:start w:val="1"/>
      <w:numFmt w:val="bullet"/>
      <w:lvlText w:val=""/>
      <w:lvlJc w:val="left"/>
      <w:pPr>
        <w:ind w:left="2520" w:hanging="360"/>
      </w:pPr>
      <w:rPr>
        <w:rFonts w:ascii="Wingdings" w:hAnsi="Wingdings"/>
      </w:rPr>
    </w:lvl>
    <w:lvl w:ilvl="3" w:tplc="38B62870">
      <w:start w:val="1"/>
      <w:numFmt w:val="bullet"/>
      <w:lvlText w:val=""/>
      <w:lvlJc w:val="left"/>
      <w:pPr>
        <w:ind w:left="3240" w:hanging="360"/>
      </w:pPr>
      <w:rPr>
        <w:rFonts w:ascii="Symbol" w:hAnsi="Symbol"/>
      </w:rPr>
    </w:lvl>
    <w:lvl w:ilvl="4" w:tplc="A68848CC">
      <w:start w:val="1"/>
      <w:numFmt w:val="bullet"/>
      <w:lvlText w:val="o"/>
      <w:lvlJc w:val="left"/>
      <w:pPr>
        <w:ind w:left="3960" w:hanging="360"/>
      </w:pPr>
      <w:rPr>
        <w:rFonts w:ascii="Courier New" w:hAnsi="Courier New"/>
      </w:rPr>
    </w:lvl>
    <w:lvl w:ilvl="5" w:tplc="0FB03778">
      <w:start w:val="1"/>
      <w:numFmt w:val="bullet"/>
      <w:lvlText w:val=""/>
      <w:lvlJc w:val="left"/>
      <w:pPr>
        <w:ind w:left="4680" w:hanging="360"/>
      </w:pPr>
      <w:rPr>
        <w:rFonts w:ascii="Wingdings" w:hAnsi="Wingdings"/>
      </w:rPr>
    </w:lvl>
    <w:lvl w:ilvl="6" w:tplc="7BF4DE6E">
      <w:start w:val="1"/>
      <w:numFmt w:val="bullet"/>
      <w:lvlText w:val=""/>
      <w:lvlJc w:val="left"/>
      <w:pPr>
        <w:ind w:left="5400" w:hanging="360"/>
      </w:pPr>
      <w:rPr>
        <w:rFonts w:ascii="Symbol" w:hAnsi="Symbol"/>
      </w:rPr>
    </w:lvl>
    <w:lvl w:ilvl="7" w:tplc="BAAA8964">
      <w:start w:val="1"/>
      <w:numFmt w:val="bullet"/>
      <w:lvlText w:val="o"/>
      <w:lvlJc w:val="left"/>
      <w:pPr>
        <w:ind w:left="6120" w:hanging="360"/>
      </w:pPr>
      <w:rPr>
        <w:rFonts w:ascii="Courier New" w:hAnsi="Courier New"/>
      </w:rPr>
    </w:lvl>
    <w:lvl w:ilvl="8" w:tplc="54CC8988">
      <w:start w:val="1"/>
      <w:numFmt w:val="bullet"/>
      <w:lvlText w:val=""/>
      <w:lvlJc w:val="left"/>
      <w:pPr>
        <w:ind w:left="6840" w:hanging="360"/>
      </w:pPr>
      <w:rPr>
        <w:rFonts w:ascii="Wingdings" w:hAnsi="Wingdings"/>
      </w:rPr>
    </w:lvl>
  </w:abstractNum>
  <w:abstractNum w:abstractNumId="11" w15:restartNumberingAfterBreak="0">
    <w:nsid w:val="74815979"/>
    <w:multiLevelType w:val="multilevel"/>
    <w:tmpl w:val="4C3E7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7412650">
    <w:abstractNumId w:val="8"/>
  </w:num>
  <w:num w:numId="2" w16cid:durableId="1681158420">
    <w:abstractNumId w:val="11"/>
  </w:num>
  <w:num w:numId="3" w16cid:durableId="397169725">
    <w:abstractNumId w:val="6"/>
  </w:num>
  <w:num w:numId="4" w16cid:durableId="238908088">
    <w:abstractNumId w:val="4"/>
  </w:num>
  <w:num w:numId="5" w16cid:durableId="300185988">
    <w:abstractNumId w:val="9"/>
  </w:num>
  <w:num w:numId="6" w16cid:durableId="1745492057">
    <w:abstractNumId w:val="2"/>
  </w:num>
  <w:num w:numId="7" w16cid:durableId="1426224115">
    <w:abstractNumId w:val="1"/>
  </w:num>
  <w:num w:numId="8" w16cid:durableId="1899658429">
    <w:abstractNumId w:val="0"/>
  </w:num>
  <w:num w:numId="9" w16cid:durableId="257563533">
    <w:abstractNumId w:val="10"/>
  </w:num>
  <w:num w:numId="10" w16cid:durableId="1754622019">
    <w:abstractNumId w:val="5"/>
  </w:num>
  <w:num w:numId="11" w16cid:durableId="92557299">
    <w:abstractNumId w:val="3"/>
  </w:num>
  <w:num w:numId="12" w16cid:durableId="572349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D9"/>
    <w:rsid w:val="001B1BC0"/>
    <w:rsid w:val="002B2771"/>
    <w:rsid w:val="003F6E1A"/>
    <w:rsid w:val="004B6E20"/>
    <w:rsid w:val="00544D58"/>
    <w:rsid w:val="00592099"/>
    <w:rsid w:val="005B1137"/>
    <w:rsid w:val="006A36BA"/>
    <w:rsid w:val="006F7166"/>
    <w:rsid w:val="007A5AB6"/>
    <w:rsid w:val="00825A56"/>
    <w:rsid w:val="008631D7"/>
    <w:rsid w:val="008B2BFC"/>
    <w:rsid w:val="00982544"/>
    <w:rsid w:val="009A03AD"/>
    <w:rsid w:val="009C57C6"/>
    <w:rsid w:val="00A00B9C"/>
    <w:rsid w:val="00A45949"/>
    <w:rsid w:val="00AC6BA5"/>
    <w:rsid w:val="00B806F6"/>
    <w:rsid w:val="00B85125"/>
    <w:rsid w:val="00BA7D31"/>
    <w:rsid w:val="00BD38B6"/>
    <w:rsid w:val="00D8568D"/>
    <w:rsid w:val="00DB3FA7"/>
    <w:rsid w:val="00DC6FAD"/>
    <w:rsid w:val="00E539D9"/>
    <w:rsid w:val="00F8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39AB"/>
  <w15:docId w15:val="{32B43515-C054-45FF-81E7-CDB65DB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A03AD"/>
    <w:pPr>
      <w:ind w:left="720"/>
      <w:contextualSpacing/>
    </w:pPr>
  </w:style>
  <w:style w:type="paragraph" w:styleId="NormalWeb">
    <w:name w:val="Normal (Web)"/>
    <w:basedOn w:val="Normal"/>
    <w:rsid w:val="00DC6F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en-US"/>
    </w:rPr>
  </w:style>
  <w:style w:type="paragraph" w:styleId="BalloonText">
    <w:name w:val="Balloon Text"/>
    <w:basedOn w:val="Normal"/>
    <w:link w:val="BalloonTextChar"/>
    <w:uiPriority w:val="99"/>
    <w:semiHidden/>
    <w:unhideWhenUsed/>
    <w:rsid w:val="00A00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B9C"/>
    <w:rPr>
      <w:rFonts w:ascii="Segoe UI" w:hAnsi="Segoe UI" w:cs="Segoe UI"/>
      <w:sz w:val="18"/>
      <w:szCs w:val="18"/>
    </w:rPr>
  </w:style>
  <w:style w:type="table" w:styleId="TableGrid">
    <w:name w:val="Table Grid"/>
    <w:basedOn w:val="TableNormal"/>
    <w:uiPriority w:val="39"/>
    <w:rsid w:val="00AC6B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2759</TotalTime>
  <Pages>8</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and Bryony Beresford</dc:creator>
  <cp:lastModifiedBy>Microsoft Office User</cp:lastModifiedBy>
  <cp:revision>11</cp:revision>
  <dcterms:created xsi:type="dcterms:W3CDTF">2020-12-07T09:51:00Z</dcterms:created>
  <dcterms:modified xsi:type="dcterms:W3CDTF">2024-10-11T09:24:00Z</dcterms:modified>
</cp:coreProperties>
</file>